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EF" w:rsidRDefault="00424071">
      <w:pPr>
        <w:pStyle w:val="20"/>
        <w:keepNext/>
        <w:keepLines/>
        <w:shd w:val="clear" w:color="auto" w:fill="auto"/>
        <w:spacing w:after="22"/>
        <w:ind w:left="340"/>
      </w:pPr>
      <w:bookmarkStart w:id="0" w:name="bookmark0"/>
      <w:r>
        <w:t>ВСЕРОССИЙСКИЙ ПРАКТИЧЕСКИЙ СЕМИНАР</w:t>
      </w:r>
      <w:r>
        <w:br/>
        <w:t>для органов управления муниципальными финансами:</w:t>
      </w:r>
      <w:bookmarkEnd w:id="0"/>
    </w:p>
    <w:p w:rsidR="00202CEF" w:rsidRDefault="00424071">
      <w:pPr>
        <w:pStyle w:val="120"/>
        <w:keepNext/>
        <w:keepLines/>
        <w:shd w:val="clear" w:color="auto" w:fill="auto"/>
        <w:spacing w:before="0" w:after="132"/>
        <w:ind w:left="340"/>
      </w:pPr>
      <w:bookmarkStart w:id="1" w:name="bookmark1"/>
      <w:r>
        <w:t>«ОРГАНИЗАЦИЯ ПРОЕКТНОЙ ДЕЯТЕЛЬНОСТИ</w:t>
      </w:r>
      <w:r>
        <w:br/>
        <w:t>В СФЕРЕ МУНИЦИПАЛЬНОГО УПРАВЛЕНИЯ»</w:t>
      </w:r>
      <w:bookmarkEnd w:id="1"/>
    </w:p>
    <w:p w:rsidR="00202CEF" w:rsidRDefault="00424071">
      <w:pPr>
        <w:pStyle w:val="20"/>
        <w:keepNext/>
        <w:keepLines/>
        <w:shd w:val="clear" w:color="auto" w:fill="auto"/>
        <w:spacing w:after="0" w:line="260" w:lineRule="exact"/>
        <w:ind w:left="340"/>
      </w:pPr>
      <w:bookmarkStart w:id="2" w:name="bookmark2"/>
      <w:r>
        <w:t>24-25 августа 2017 года, Москва,</w:t>
      </w:r>
      <w:bookmarkEnd w:id="2"/>
    </w:p>
    <w:p w:rsidR="00202CEF" w:rsidRDefault="00424071">
      <w:pPr>
        <w:pStyle w:val="30"/>
        <w:shd w:val="clear" w:color="auto" w:fill="auto"/>
        <w:spacing w:before="0"/>
        <w:ind w:left="340"/>
      </w:pPr>
      <w:r>
        <w:t>Аналитический центр при Правительстве Российской Федерации</w:t>
      </w:r>
    </w:p>
    <w:p w:rsidR="00202CEF" w:rsidRDefault="00424071">
      <w:pPr>
        <w:pStyle w:val="40"/>
        <w:shd w:val="clear" w:color="auto" w:fill="auto"/>
        <w:ind w:left="340" w:firstLine="0"/>
      </w:pPr>
      <w:r>
        <w:t>В ПРОГРАММЕ СЕМИНАРА:</w:t>
      </w:r>
    </w:p>
    <w:p w:rsidR="00202CEF" w:rsidRDefault="00424071">
      <w:pPr>
        <w:pStyle w:val="22"/>
        <w:shd w:val="clear" w:color="auto" w:fill="auto"/>
        <w:ind w:firstLine="0"/>
      </w:pPr>
      <w:r>
        <w:rPr>
          <w:rStyle w:val="23"/>
        </w:rPr>
        <w:t xml:space="preserve">Система организации работы с муниципальными финансами: </w:t>
      </w:r>
      <w:r>
        <w:t xml:space="preserve">управленческие структуры и их взаимодействие, участники бюджетного процесса и их полномочия. Формирование местного бюджета на основании долгосрочного прогноза основных параметров бюджетной системы. Виды программ и программный бюджет. Бюджетирование, </w:t>
      </w:r>
      <w:proofErr w:type="gramStart"/>
      <w:r>
        <w:t>ориентированное</w:t>
      </w:r>
      <w:proofErr w:type="gramEnd"/>
      <w:r>
        <w:t xml:space="preserve"> на результат (БОР), рационализация расходов, связь расходов с оказанием публичных услуг. Контроль результатов и мониторинг финансово-хозяйственной деятельности. </w:t>
      </w:r>
      <w:r>
        <w:rPr>
          <w:rStyle w:val="23"/>
        </w:rPr>
        <w:t xml:space="preserve">Бюджетирование, </w:t>
      </w:r>
      <w:proofErr w:type="gramStart"/>
      <w:r>
        <w:rPr>
          <w:rStyle w:val="23"/>
        </w:rPr>
        <w:t>ориентированное</w:t>
      </w:r>
      <w:proofErr w:type="gramEnd"/>
      <w:r>
        <w:rPr>
          <w:rStyle w:val="23"/>
        </w:rPr>
        <w:t xml:space="preserve"> на результат </w:t>
      </w:r>
      <w:r>
        <w:t xml:space="preserve">- система формирования, исполнения бюджета и бюджетного контроля как взаимосвязь между расходами и результатами. </w:t>
      </w:r>
      <w:proofErr w:type="gramStart"/>
      <w:r>
        <w:t>Понятия и терминология БОР: результаты, промежуточные результаты, продукт, вехи, этапы, уроки реализации проектов, дорожные карты, показатели количества и качества и т.д.</w:t>
      </w:r>
      <w:proofErr w:type="gramEnd"/>
      <w:r>
        <w:t xml:space="preserve"> Социальная значимость результатов, измеримость и другие характеристики показателей. Модель управления результатами; система сбалансированных показателей. </w:t>
      </w:r>
      <w:r>
        <w:rPr>
          <w:rStyle w:val="23"/>
        </w:rPr>
        <w:t xml:space="preserve">Основные инструменты БОР и финансового менеджмента. </w:t>
      </w:r>
      <w:r>
        <w:t xml:space="preserve">Стратегия развития региона (города, района и т.д.). Программы социально-экономического развития. Доклад о результатах и основных направлениях деятельности главных распорядителей бюджетных средств. Ведомственные программы. Взаимосвязь инструментов БОР. Финансовый менеджмент. Показатели финансового менеджмента. Примеры использования технологии БОР и проектного менеджмента в оценке главных распорядителей бюджетных средств. </w:t>
      </w:r>
      <w:r>
        <w:rPr>
          <w:rStyle w:val="23"/>
        </w:rPr>
        <w:t xml:space="preserve">Муниципальные (государственные) услуги. </w:t>
      </w:r>
      <w:r>
        <w:t>Муниципальные услуги и работы как единицы деятельности органов местного самоуправления и учреждений. Реестр муниципальных (государственных) услуг. Стандарты качества муниципальных (государственных) услуг. Оценка стоимости муниципальных (государственных) услуг. Оценка потребности в муниципальных (государственных) услугах.</w:t>
      </w:r>
    </w:p>
    <w:p w:rsidR="00202CEF" w:rsidRDefault="00424071">
      <w:pPr>
        <w:pStyle w:val="22"/>
        <w:shd w:val="clear" w:color="auto" w:fill="auto"/>
        <w:ind w:firstLine="0"/>
      </w:pPr>
      <w:r>
        <w:rPr>
          <w:rStyle w:val="23"/>
        </w:rPr>
        <w:t xml:space="preserve">Применение проектного менеджмента в сфере муниципального управления. </w:t>
      </w:r>
      <w:r>
        <w:t>Возможность применения проектного менеджмента в сфере муниципального управления и его связь с другими инструментами управления. Государственные (муниципальные) программы. Инвестиционные проекты. Механизмы взаимодействия в проектной деятельности федеральных органов государственной власти, органов государственной власти субъектов РФ и органов местного самоуправления. Рекомендации по организации проектной деятельности в субъектах РФ и органах местного самоуправления.</w:t>
      </w:r>
    </w:p>
    <w:p w:rsidR="00202CEF" w:rsidRDefault="00424071">
      <w:pPr>
        <w:pStyle w:val="22"/>
        <w:shd w:val="clear" w:color="auto" w:fill="auto"/>
        <w:ind w:firstLine="0"/>
      </w:pPr>
      <w:r>
        <w:rPr>
          <w:rStyle w:val="23"/>
        </w:rPr>
        <w:t xml:space="preserve">Стратегические проекты и механизмы контроля их реализации. </w:t>
      </w:r>
      <w:r>
        <w:t>Стратегические проекты Правительства РФ; показатели и финансовое обеспечение реализации проектов. Мониторинг и оценка реализации инвестиционных проектов с участием бюджетных средств. Аудит государственных и международных инвестиционных проектов. Взаимосвязь показателей мониторинга реализации инвестиционных проектов и оценки эффективности деятельности в сфере государственного и муниципального управления.</w:t>
      </w:r>
    </w:p>
    <w:p w:rsidR="00202CEF" w:rsidRDefault="00424071">
      <w:pPr>
        <w:pStyle w:val="22"/>
        <w:shd w:val="clear" w:color="auto" w:fill="auto"/>
        <w:ind w:firstLine="0"/>
      </w:pPr>
      <w:r>
        <w:rPr>
          <w:rStyle w:val="23"/>
        </w:rPr>
        <w:t xml:space="preserve">Развитие проектов </w:t>
      </w:r>
      <w:proofErr w:type="spellStart"/>
      <w:r>
        <w:rPr>
          <w:rStyle w:val="23"/>
        </w:rPr>
        <w:t>муниципально</w:t>
      </w:r>
      <w:proofErr w:type="spellEnd"/>
      <w:r>
        <w:rPr>
          <w:rStyle w:val="23"/>
        </w:rPr>
        <w:t xml:space="preserve">-частного партнерства. </w:t>
      </w:r>
      <w:r>
        <w:t xml:space="preserve">Порядок реализации соглашений о МЧП. Опыт муниципалитетов и допускаемые ошибки по привлечению внебюджетных средств. Конкурсные процедуры по отбору частных инвесторов. Договорные и финансовые обязательства </w:t>
      </w:r>
      <w:proofErr w:type="spellStart"/>
      <w:r>
        <w:t>концедента</w:t>
      </w:r>
      <w:proofErr w:type="spellEnd"/>
      <w:r>
        <w:t xml:space="preserve"> и концессионера. Финансовая модель соглашения. Минимизация рисков при заключении соглашений.</w:t>
      </w:r>
    </w:p>
    <w:p w:rsidR="00202CEF" w:rsidRDefault="00424071">
      <w:pPr>
        <w:pStyle w:val="22"/>
        <w:shd w:val="clear" w:color="auto" w:fill="auto"/>
        <w:spacing w:after="201"/>
        <w:ind w:firstLine="0"/>
      </w:pPr>
      <w:r>
        <w:rPr>
          <w:rStyle w:val="23"/>
        </w:rPr>
        <w:t xml:space="preserve">Практика применения проектного менеджмента на примере города Москвы. </w:t>
      </w:r>
      <w:r>
        <w:t xml:space="preserve">Организация и правовое обеспечение применения проектного менеджмента. Портфель проектов. Финансовое обеспечение реализации проектов. Мониторинг и оценка реализации проектов. Информационное сопровождение реализации проектов. </w:t>
      </w:r>
      <w:r>
        <w:rPr>
          <w:rStyle w:val="23"/>
        </w:rPr>
        <w:t xml:space="preserve">Государственный и муниципальный финансовый контроль. </w:t>
      </w:r>
      <w:r>
        <w:t>Распределение полномочий органов государственного финансового контроля. Контроль за нецелевым, незаконным и неэффективным использованием бюджетных средств. Основные виды нарушений бюджетного законодательства, выявляемые контрольными органами. Реализация материалов контрольных мероприятий. Ответственность за нарушения. Стандарты внутреннего государственного (муниципального) финансового контроля.</w:t>
      </w:r>
    </w:p>
    <w:p w:rsidR="00202CEF" w:rsidRDefault="00424071">
      <w:pPr>
        <w:pStyle w:val="22"/>
        <w:shd w:val="clear" w:color="auto" w:fill="auto"/>
        <w:spacing w:after="320" w:line="200" w:lineRule="exact"/>
        <w:ind w:firstLine="0"/>
        <w:jc w:val="left"/>
      </w:pPr>
      <w:r>
        <w:t xml:space="preserve">УСЛОВИЯ УЧАСТИЯ, ВЫСТУПАЮЩИЕ И СПРАВОЧНАЯ ИНФОРМАЦИЯ - </w:t>
      </w:r>
      <w:r>
        <w:rPr>
          <w:rStyle w:val="23"/>
        </w:rPr>
        <w:t>СМ. НА ОБОРОТЕ.</w:t>
      </w:r>
    </w:p>
    <w:p w:rsidR="00202CEF" w:rsidRDefault="00202CEF">
      <w:pPr>
        <w:rPr>
          <w:sz w:val="2"/>
          <w:szCs w:val="2"/>
        </w:rPr>
      </w:pPr>
      <w:bookmarkStart w:id="3" w:name="_GoBack"/>
      <w:bookmarkEnd w:id="3"/>
    </w:p>
    <w:p w:rsidR="00202CEF" w:rsidRDefault="00202CEF">
      <w:pPr>
        <w:rPr>
          <w:sz w:val="2"/>
          <w:szCs w:val="2"/>
        </w:rPr>
        <w:sectPr w:rsidR="00202CEF">
          <w:pgSz w:w="10142" w:h="15088"/>
          <w:pgMar w:top="27" w:right="96" w:bottom="27" w:left="125" w:header="0" w:footer="3" w:gutter="0"/>
          <w:cols w:space="720"/>
          <w:noEndnote/>
          <w:docGrid w:linePitch="360"/>
        </w:sectPr>
      </w:pPr>
    </w:p>
    <w:p w:rsidR="00202CEF" w:rsidRDefault="00424071">
      <w:pPr>
        <w:pStyle w:val="40"/>
        <w:shd w:val="clear" w:color="auto" w:fill="auto"/>
        <w:spacing w:after="54" w:line="200" w:lineRule="exact"/>
        <w:ind w:left="280" w:firstLine="0"/>
      </w:pPr>
      <w:r>
        <w:lastRenderedPageBreak/>
        <w:t>В СЕМИНАРЕ ПРИНИМАЮТ УЧАСТИЕ: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 w:right="440"/>
      </w:pPr>
      <w:r>
        <w:rPr>
          <w:rStyle w:val="23"/>
        </w:rPr>
        <w:t xml:space="preserve">КОЛЕГАЕВА Татьяна Сергеевна </w:t>
      </w:r>
      <w:r>
        <w:t xml:space="preserve">- Начальник отдела методологии финансового обеспечения и оказания государственных и муниципальных услуг </w:t>
      </w:r>
      <w:proofErr w:type="gramStart"/>
      <w:r>
        <w:t>Департамента бюджетной методологии Министерства финансов Российской Федерации</w:t>
      </w:r>
      <w:proofErr w:type="gramEnd"/>
      <w:r>
        <w:t>;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 w:right="440"/>
      </w:pPr>
      <w:r>
        <w:rPr>
          <w:rStyle w:val="23"/>
        </w:rPr>
        <w:t xml:space="preserve">САВРАНСКАЯ Ольга Леонидовна </w:t>
      </w:r>
      <w:r>
        <w:t>- Советник Управления конституционных основ публичного права Конституционного Суда Российской Федерации, член Совета по развитию местного самоуправления при Председателе Совета Федерации;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 w:right="440"/>
      </w:pPr>
      <w:r>
        <w:rPr>
          <w:rStyle w:val="23"/>
        </w:rPr>
        <w:t xml:space="preserve">МАСЛОВА Марина Викторовна </w:t>
      </w:r>
      <w:r>
        <w:t xml:space="preserve">- </w:t>
      </w: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 Консультант сектора муниципальных финансов и межбюджетных отношений Фонда «Институт экономики города», член экспертного совета Всероссийского Совета местного самоуправления, член Научно-экспертного совета Общероссийского Конгресса муниципальных образований;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 w:right="440"/>
      </w:pPr>
      <w:r>
        <w:rPr>
          <w:rStyle w:val="23"/>
        </w:rPr>
        <w:t xml:space="preserve">ПАДИЛЬЯ-СОРОСА Людмила Юрьевна </w:t>
      </w:r>
      <w:r>
        <w:t>Начальник Управления сводных экономических показателей Департамента экономической политики и развития города Москвы, ведущий эксперт в области муниципальных финансов и межбюджетных отношений;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 w:right="440"/>
      </w:pPr>
      <w:r>
        <w:rPr>
          <w:rStyle w:val="23"/>
        </w:rPr>
        <w:t xml:space="preserve">БАЗЕЕВА Альмира </w:t>
      </w:r>
      <w:proofErr w:type="spellStart"/>
      <w:r>
        <w:rPr>
          <w:rStyle w:val="23"/>
        </w:rPr>
        <w:t>Рашитовна</w:t>
      </w:r>
      <w:proofErr w:type="spellEnd"/>
      <w:r>
        <w:rPr>
          <w:rStyle w:val="23"/>
        </w:rPr>
        <w:t xml:space="preserve"> </w:t>
      </w:r>
      <w:r>
        <w:t>- Ведущий консультант Департамента развития комплексных решений компании «Бюджетные и Финансовые Технологии», руководитель региональных проектов по повышению эффективности бюджетных расходов;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 w:right="440"/>
      </w:pPr>
      <w:r>
        <w:rPr>
          <w:rStyle w:val="23"/>
        </w:rPr>
        <w:t xml:space="preserve">БИРЮКОВ Александр Иванович </w:t>
      </w:r>
      <w:r>
        <w:t>- к.э.н., советник Инспекторского отдела Управления внутреннего контроля (аудита) и оценки эффективности деятельности Федерального казначейства, Заведующий кафедрой Государственного университета Министерства финансов РФ;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spacing w:after="133"/>
        <w:ind w:left="520" w:right="240"/>
      </w:pPr>
      <w:r>
        <w:rPr>
          <w:rStyle w:val="23"/>
        </w:rPr>
        <w:t xml:space="preserve">ХОМЧЕНКО Дмитрий Юрьевич </w:t>
      </w:r>
      <w:r>
        <w:t xml:space="preserve">- Ведущий эксперт Аналитического центра при Правительстве Российской Федерации, разработчик Федерального закона «О концессионных соглашениях» и региональных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в сфере государственно-частного партнерства.</w:t>
      </w:r>
    </w:p>
    <w:p w:rsidR="00202CEF" w:rsidRDefault="00424071">
      <w:pPr>
        <w:pStyle w:val="32"/>
        <w:keepNext/>
        <w:keepLines/>
        <w:shd w:val="clear" w:color="auto" w:fill="auto"/>
        <w:spacing w:before="0" w:after="37" w:line="210" w:lineRule="exact"/>
        <w:ind w:left="280"/>
      </w:pPr>
      <w:bookmarkStart w:id="4" w:name="bookmark3"/>
      <w:r>
        <w:t>УСЛОВИЯ УЧАСТИЯ В СЕМИНАРЕ:</w:t>
      </w:r>
      <w:bookmarkEnd w:id="4"/>
    </w:p>
    <w:p w:rsidR="00202CEF" w:rsidRDefault="00424071">
      <w:pPr>
        <w:pStyle w:val="40"/>
        <w:numPr>
          <w:ilvl w:val="0"/>
          <w:numId w:val="1"/>
        </w:numPr>
        <w:shd w:val="clear" w:color="auto" w:fill="auto"/>
        <w:tabs>
          <w:tab w:val="left" w:pos="521"/>
        </w:tabs>
        <w:spacing w:line="226" w:lineRule="exact"/>
        <w:ind w:left="520"/>
        <w:jc w:val="left"/>
      </w:pPr>
      <w:r>
        <w:rPr>
          <w:rStyle w:val="41"/>
        </w:rPr>
        <w:t xml:space="preserve">Для участия в семинаре </w:t>
      </w:r>
      <w:r>
        <w:t xml:space="preserve">необходимо: </w:t>
      </w:r>
      <w:r>
        <w:rPr>
          <w:rStyle w:val="41"/>
        </w:rPr>
        <w:t xml:space="preserve">1) зарегистрироваться по телефону </w:t>
      </w:r>
      <w:r>
        <w:t xml:space="preserve">8-499-110-13-16 доб.109 </w:t>
      </w:r>
      <w:r>
        <w:rPr>
          <w:rStyle w:val="41"/>
        </w:rPr>
        <w:t xml:space="preserve">или </w:t>
      </w:r>
      <w:r>
        <w:t>8-910-089-214-44 Орехова Вероника</w:t>
      </w:r>
    </w:p>
    <w:p w:rsidR="00202CEF" w:rsidRDefault="00424071">
      <w:pPr>
        <w:pStyle w:val="22"/>
        <w:shd w:val="clear" w:color="auto" w:fill="auto"/>
        <w:spacing w:after="133"/>
        <w:ind w:left="180" w:firstLine="340"/>
        <w:jc w:val="left"/>
      </w:pPr>
      <w:r>
        <w:t>Организаторы оставляют за собой право вносить в заявленную программу незначительные изменения.</w:t>
      </w:r>
    </w:p>
    <w:p w:rsidR="00202CEF" w:rsidRDefault="001F5266">
      <w:pPr>
        <w:pStyle w:val="32"/>
        <w:keepNext/>
        <w:keepLines/>
        <w:shd w:val="clear" w:color="auto" w:fill="auto"/>
        <w:spacing w:before="0" w:after="48" w:line="210" w:lineRule="exact"/>
        <w:ind w:left="1540"/>
        <w:jc w:val="left"/>
      </w:pPr>
      <w:r>
        <w:rPr>
          <w:noProof/>
          <w:lang w:bidi="ar-SA"/>
        </w:rPr>
        <w:drawing>
          <wp:anchor distT="0" distB="0" distL="280670" distR="63500" simplePos="0" relativeHeight="251657728" behindDoc="1" locked="0" layoutInCell="1" allowOverlap="1">
            <wp:simplePos x="0" y="0"/>
            <wp:positionH relativeFrom="margin">
              <wp:posOffset>4297680</wp:posOffset>
            </wp:positionH>
            <wp:positionV relativeFrom="paragraph">
              <wp:posOffset>0</wp:posOffset>
            </wp:positionV>
            <wp:extent cx="2218690" cy="1901825"/>
            <wp:effectExtent l="0" t="0" r="0" b="3175"/>
            <wp:wrapSquare wrapText="left"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ookmark4"/>
      <w:r w:rsidR="00424071">
        <w:t>МЕСТО ПРОВЕДЕНИЯ СЕМИНАРА:</w:t>
      </w:r>
      <w:bookmarkEnd w:id="5"/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spacing w:line="230" w:lineRule="exact"/>
        <w:ind w:left="520"/>
        <w:jc w:val="left"/>
      </w:pPr>
      <w:r>
        <w:t>Семинар будет проходить в конференц-зале Аналитического центра при Правительстве РФ (1-й этаж).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spacing w:line="230" w:lineRule="exact"/>
        <w:ind w:left="520"/>
      </w:pPr>
      <w:r>
        <w:t>Адрес: 107078, г. Москва, проспект Академика Сахарова, д. 12.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spacing w:after="136" w:line="230" w:lineRule="exact"/>
        <w:ind w:left="520"/>
      </w:pPr>
      <w:r>
        <w:t>Проезд: станция метро «Красные ворота», далее по схеме:</w:t>
      </w:r>
    </w:p>
    <w:p w:rsidR="00202CEF" w:rsidRDefault="00424071">
      <w:pPr>
        <w:pStyle w:val="32"/>
        <w:keepNext/>
        <w:keepLines/>
        <w:shd w:val="clear" w:color="auto" w:fill="auto"/>
        <w:spacing w:before="0" w:after="52" w:line="210" w:lineRule="exact"/>
        <w:ind w:left="1140"/>
        <w:jc w:val="left"/>
      </w:pPr>
      <w:bookmarkStart w:id="6" w:name="bookmark5"/>
      <w:r>
        <w:t>УСЛОВИЯ БРОНИРОВАНИЯ ГОСТИНИЦЫ:</w:t>
      </w:r>
      <w:bookmarkEnd w:id="6"/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ind w:left="520"/>
        <w:jc w:val="left"/>
      </w:pPr>
      <w:r>
        <w:t>Если Вам необходимо забронировать номер в гостинице, сообщите об этом при регистрации на семинар по телефону: (495)</w:t>
      </w:r>
    </w:p>
    <w:p w:rsidR="00202CEF" w:rsidRDefault="00424071">
      <w:pPr>
        <w:pStyle w:val="22"/>
        <w:shd w:val="clear" w:color="auto" w:fill="auto"/>
        <w:ind w:left="280" w:firstLine="0"/>
        <w:jc w:val="center"/>
      </w:pPr>
      <w:r>
        <w:t>223-70-80 не позднее, чем за неделю до начала семинара.</w:t>
      </w:r>
    </w:p>
    <w:p w:rsidR="00202CEF" w:rsidRDefault="00424071">
      <w:pPr>
        <w:pStyle w:val="22"/>
        <w:numPr>
          <w:ilvl w:val="0"/>
          <w:numId w:val="1"/>
        </w:numPr>
        <w:shd w:val="clear" w:color="auto" w:fill="auto"/>
        <w:tabs>
          <w:tab w:val="left" w:pos="521"/>
        </w:tabs>
        <w:spacing w:after="124"/>
        <w:ind w:left="520"/>
        <w:jc w:val="left"/>
      </w:pPr>
      <w:r>
        <w:t>При несоблюдении сроков бронирования номеров, организаторы не гарантируют участникам обеспечение проживания в гостинице.</w:t>
      </w:r>
    </w:p>
    <w:p w:rsidR="00202CEF" w:rsidRDefault="00424071">
      <w:pPr>
        <w:pStyle w:val="50"/>
        <w:shd w:val="clear" w:color="auto" w:fill="auto"/>
        <w:spacing w:before="0" w:after="392"/>
        <w:ind w:left="180"/>
      </w:pPr>
      <w:r>
        <w:t xml:space="preserve">Реквизиты Оргкомитета: АНО ДПО «Институт экономики, управления и социальных отношений», 107258, г. Москва, ул. Пая </w:t>
      </w:r>
      <w:proofErr w:type="spellStart"/>
      <w:r>
        <w:t>Бухвостова</w:t>
      </w:r>
      <w:proofErr w:type="spellEnd"/>
      <w:r>
        <w:t xml:space="preserve">, 12/11, корп. 53, ИНН 7718164921, КПП 771801001, </w:t>
      </w:r>
      <w:proofErr w:type="gramStart"/>
      <w:r>
        <w:t>р</w:t>
      </w:r>
      <w:proofErr w:type="gramEnd"/>
      <w:r>
        <w:t>/с 40703810838290101628 в : Московском банке Сбербанка России ОАО г. Москва, к/с 30101810400000000225, БИК 044525225.</w:t>
      </w:r>
    </w:p>
    <w:p w:rsidR="00202CEF" w:rsidRDefault="00424071">
      <w:pPr>
        <w:pStyle w:val="30"/>
        <w:shd w:val="clear" w:color="auto" w:fill="auto"/>
        <w:spacing w:before="0" w:line="331" w:lineRule="exact"/>
        <w:ind w:left="180" w:firstLine="340"/>
        <w:jc w:val="left"/>
      </w:pPr>
      <w:r>
        <w:t>СПРАВКИ И ОБЯЗАТЕЛЬНАЯ ПРЕДВАРИТЕЛЬНАЯ РЕГИСТРАЦИЯ СЛУШАТЕЛЕЙ</w:t>
      </w:r>
    </w:p>
    <w:p w:rsidR="00202CEF" w:rsidRDefault="00424071">
      <w:pPr>
        <w:pStyle w:val="10"/>
        <w:keepNext/>
        <w:keepLines/>
        <w:shd w:val="clear" w:color="auto" w:fill="auto"/>
      </w:pPr>
      <w:bookmarkStart w:id="7" w:name="bookmark6"/>
      <w:r>
        <w:t xml:space="preserve">по </w:t>
      </w:r>
      <w:r>
        <w:rPr>
          <w:rStyle w:val="1105pt"/>
          <w:b/>
          <w:bCs/>
        </w:rPr>
        <w:t xml:space="preserve">многоканальному телефону: </w:t>
      </w:r>
      <w:r>
        <w:t>8-499-110-13-16 доб.109 или 8-910-089-21-44</w:t>
      </w:r>
      <w:bookmarkEnd w:id="7"/>
    </w:p>
    <w:p w:rsidR="00202CEF" w:rsidRDefault="00424071">
      <w:pPr>
        <w:pStyle w:val="60"/>
        <w:shd w:val="clear" w:color="auto" w:fill="auto"/>
        <w:ind w:right="60"/>
      </w:pPr>
      <w:r>
        <w:t>Орехова Вероника Александровна</w:t>
      </w:r>
    </w:p>
    <w:p w:rsidR="00202CEF" w:rsidRPr="001F5266" w:rsidRDefault="00F12CCB">
      <w:pPr>
        <w:pStyle w:val="70"/>
        <w:shd w:val="clear" w:color="auto" w:fill="auto"/>
        <w:spacing w:line="200" w:lineRule="exact"/>
        <w:ind w:right="60"/>
        <w:rPr>
          <w:lang w:val="ru-RU"/>
        </w:rPr>
      </w:pPr>
      <w:hyperlink r:id="rId9" w:history="1">
        <w:r w:rsidR="00424071">
          <w:rPr>
            <w:rStyle w:val="a3"/>
          </w:rPr>
          <w:t>orekhova</w:t>
        </w:r>
        <w:r w:rsidR="00424071" w:rsidRPr="001F5266">
          <w:rPr>
            <w:rStyle w:val="a3"/>
            <w:lang w:val="ru-RU"/>
          </w:rPr>
          <w:t>@</w:t>
        </w:r>
        <w:r w:rsidR="00424071">
          <w:rPr>
            <w:rStyle w:val="a3"/>
          </w:rPr>
          <w:t>seminar</w:t>
        </w:r>
        <w:r w:rsidR="00424071" w:rsidRPr="001F5266">
          <w:rPr>
            <w:rStyle w:val="a3"/>
            <w:lang w:val="ru-RU"/>
          </w:rPr>
          <w:t>-</w:t>
        </w:r>
        <w:r w:rsidR="00424071">
          <w:rPr>
            <w:rStyle w:val="a3"/>
          </w:rPr>
          <w:t>inforin</w:t>
        </w:r>
        <w:r w:rsidR="00424071" w:rsidRPr="001F5266">
          <w:rPr>
            <w:rStyle w:val="a3"/>
            <w:lang w:val="ru-RU"/>
          </w:rPr>
          <w:t>.</w:t>
        </w:r>
        <w:r w:rsidR="00424071">
          <w:rPr>
            <w:rStyle w:val="a3"/>
          </w:rPr>
          <w:t>com</w:t>
        </w:r>
      </w:hyperlink>
    </w:p>
    <w:sectPr w:rsidR="00202CEF" w:rsidRPr="001F5266">
      <w:pgSz w:w="11078" w:h="12768"/>
      <w:pgMar w:top="628" w:right="331" w:bottom="62" w:left="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CB" w:rsidRDefault="00F12CCB">
      <w:r>
        <w:separator/>
      </w:r>
    </w:p>
  </w:endnote>
  <w:endnote w:type="continuationSeparator" w:id="0">
    <w:p w:rsidR="00F12CCB" w:rsidRDefault="00F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CB" w:rsidRDefault="00F12CCB"/>
  </w:footnote>
  <w:footnote w:type="continuationSeparator" w:id="0">
    <w:p w:rsidR="00F12CCB" w:rsidRDefault="00F12C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1BD"/>
    <w:multiLevelType w:val="multilevel"/>
    <w:tmpl w:val="B5A4F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F"/>
    <w:rsid w:val="001F5266"/>
    <w:rsid w:val="00202CEF"/>
    <w:rsid w:val="00424071"/>
    <w:rsid w:val="007A21B1"/>
    <w:rsid w:val="00F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55pt0pt">
    <w:name w:val="Основной текст (2) + Microsoft Sans Serif;5;5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6pt0pt">
    <w:name w:val="Основной текст (2) + Microsoft Sans Serif;6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20pt-2pt">
    <w:name w:val="Основной текст (2) + Microsoft Sans Serif;20 pt;Интервал -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MicrosoftSansSerif55pt0">
    <w:name w:val="Основной текст (2) + Microsoft Sans Serif;5;5 pt;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30pt-2pt">
    <w:name w:val="Основной текст (2) + Consolas;30 pt;Полужирный;Интервал -2 pt"/>
    <w:basedOn w:val="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05pt">
    <w:name w:val="Заголовок №1 + 10;5 pt;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0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1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221" w:lineRule="exact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55pt0pt">
    <w:name w:val="Основной текст (2) + Microsoft Sans Serif;5;5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6pt0pt">
    <w:name w:val="Основной текст (2) + Microsoft Sans Serif;6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20pt-2pt">
    <w:name w:val="Основной текст (2) + Microsoft Sans Serif;20 pt;Интервал -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MicrosoftSansSerif55pt0">
    <w:name w:val="Основной текст (2) + Microsoft Sans Serif;5;5 pt;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30pt-2pt">
    <w:name w:val="Основной текст (2) + Consolas;30 pt;Полужирный;Интервал -2 pt"/>
    <w:basedOn w:val="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05pt">
    <w:name w:val="Заголовок №1 + 10;5 pt;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0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1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221" w:lineRule="exact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ekhova@seminar-infori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2017-05-19T00:36:00Z</dcterms:created>
  <dcterms:modified xsi:type="dcterms:W3CDTF">2017-05-19T00:37:00Z</dcterms:modified>
</cp:coreProperties>
</file>