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7" w:rsidRDefault="0051524B" w:rsidP="0051524B">
      <w:pPr>
        <w:pStyle w:val="10"/>
        <w:contextualSpacing w:val="0"/>
        <w:jc w:val="center"/>
        <w:rPr>
          <w:b/>
          <w:sz w:val="36"/>
          <w:szCs w:val="32"/>
        </w:rPr>
      </w:pPr>
      <w:r w:rsidRPr="00C93975">
        <w:rPr>
          <w:b/>
          <w:sz w:val="36"/>
          <w:szCs w:val="32"/>
        </w:rPr>
        <w:t>Комплексная образовательная программа по проектированию социально-экономического развития муниципалитетов РФ 2019 – 2024 гг.</w:t>
      </w:r>
      <w:r w:rsidR="00613307">
        <w:rPr>
          <w:b/>
          <w:sz w:val="36"/>
          <w:szCs w:val="32"/>
        </w:rPr>
        <w:t xml:space="preserve"> </w:t>
      </w:r>
    </w:p>
    <w:p w:rsidR="0051524B" w:rsidRPr="00613307" w:rsidRDefault="00613307" w:rsidP="0051524B">
      <w:pPr>
        <w:pStyle w:val="10"/>
        <w:contextualSpacing w:val="0"/>
        <w:jc w:val="center"/>
        <w:rPr>
          <w:b/>
          <w:sz w:val="28"/>
          <w:szCs w:val="28"/>
        </w:rPr>
      </w:pPr>
      <w:r w:rsidRPr="0061330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сельских поселений.</w:t>
      </w:r>
    </w:p>
    <w:p w:rsidR="0051524B" w:rsidRDefault="0051524B" w:rsidP="0051524B">
      <w:pPr>
        <w:pStyle w:val="10"/>
        <w:contextualSpacing w:val="0"/>
        <w:jc w:val="center"/>
        <w:rPr>
          <w:b/>
          <w:sz w:val="28"/>
          <w:szCs w:val="28"/>
          <w:highlight w:val="white"/>
        </w:rPr>
      </w:pPr>
    </w:p>
    <w:p w:rsidR="0051524B" w:rsidRDefault="0051524B" w:rsidP="0051524B">
      <w:pPr>
        <w:pStyle w:val="10"/>
        <w:contextualSpacing w:val="0"/>
      </w:pPr>
      <w:r>
        <w:rPr>
          <w:b/>
        </w:rPr>
        <w:t xml:space="preserve">Цель комплексной </w:t>
      </w:r>
      <w:r w:rsidRPr="00B46BBE">
        <w:rPr>
          <w:b/>
        </w:rPr>
        <w:t>образовательн</w:t>
      </w:r>
      <w:r>
        <w:rPr>
          <w:b/>
        </w:rPr>
        <w:t>ой</w:t>
      </w:r>
      <w:r w:rsidRPr="00B46BBE">
        <w:rPr>
          <w:b/>
        </w:rPr>
        <w:t xml:space="preserve"> программ</w:t>
      </w:r>
      <w:r>
        <w:rPr>
          <w:b/>
        </w:rPr>
        <w:t>ы</w:t>
      </w:r>
      <w:r w:rsidRPr="00B46BBE">
        <w:rPr>
          <w:b/>
        </w:rPr>
        <w:t xml:space="preserve"> по проектированию социально-экономического развития </w:t>
      </w:r>
      <w:r>
        <w:rPr>
          <w:b/>
        </w:rPr>
        <w:t>муниципалитетов (далее Программа)</w:t>
      </w:r>
      <w:r>
        <w:t>: через социально-экономическое проектирование и образовательные модули стимулировать развитие муниципальных образований, в т.ч. инвестпроектов, предпринимательства, туризма</w:t>
      </w:r>
      <w:r w:rsidR="005124CC">
        <w:t xml:space="preserve"> и</w:t>
      </w:r>
      <w:r>
        <w:t xml:space="preserve"> благоустройств</w:t>
      </w:r>
      <w:r w:rsidR="005124CC">
        <w:t>о.</w:t>
      </w:r>
    </w:p>
    <w:p w:rsidR="0051524B" w:rsidRDefault="0051524B" w:rsidP="0051524B">
      <w:pPr>
        <w:pStyle w:val="10"/>
        <w:contextualSpacing w:val="0"/>
        <w:rPr>
          <w:b/>
        </w:rPr>
      </w:pPr>
    </w:p>
    <w:p w:rsidR="0051524B" w:rsidRDefault="0051524B" w:rsidP="0051524B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Задачи Программы: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t xml:space="preserve">Обучение участников инструментам </w:t>
      </w:r>
      <w:r>
        <w:rPr>
          <w:bCs/>
        </w:rPr>
        <w:t>развития инвестиционной</w:t>
      </w:r>
      <w:r w:rsidRPr="00B46BBE">
        <w:rPr>
          <w:bCs/>
        </w:rPr>
        <w:t xml:space="preserve"> привлекательности</w:t>
      </w:r>
      <w:r>
        <w:rPr>
          <w:bCs/>
        </w:rPr>
        <w:t xml:space="preserve"> территории</w:t>
      </w:r>
      <w:r w:rsidRPr="00B46BBE">
        <w:t xml:space="preserve">, </w:t>
      </w:r>
      <w:r w:rsidRPr="00B46BBE">
        <w:rPr>
          <w:bCs/>
        </w:rPr>
        <w:t>предпринимательства</w:t>
      </w:r>
      <w:r w:rsidRPr="00B46BBE">
        <w:t xml:space="preserve">, </w:t>
      </w:r>
      <w:r w:rsidRPr="00B46BBE">
        <w:rPr>
          <w:bCs/>
        </w:rPr>
        <w:t>бизнес-среды</w:t>
      </w:r>
      <w:r w:rsidRPr="00B46BBE">
        <w:t xml:space="preserve">, </w:t>
      </w:r>
      <w:r>
        <w:t xml:space="preserve">туризма, </w:t>
      </w:r>
      <w:r w:rsidRPr="00B46BBE">
        <w:rPr>
          <w:bCs/>
        </w:rPr>
        <w:t xml:space="preserve">ГЧП </w:t>
      </w:r>
      <w:r w:rsidRPr="00B46BBE">
        <w:t xml:space="preserve">/ </w:t>
      </w:r>
      <w:r w:rsidRPr="00B46BBE">
        <w:rPr>
          <w:bCs/>
        </w:rPr>
        <w:t>МЧП.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t xml:space="preserve">Развитие </w:t>
      </w:r>
      <w:r w:rsidRPr="00B46BBE">
        <w:rPr>
          <w:bCs/>
        </w:rPr>
        <w:t>управленческих команд муниципалитетов</w:t>
      </w:r>
      <w:r w:rsidRPr="00B46BBE">
        <w:t>, стимуляция их выступить точками социально-экономического развития муниципалитетов.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rPr>
          <w:bCs/>
        </w:rPr>
        <w:t xml:space="preserve">Экономия бюджетных средств </w:t>
      </w:r>
      <w:r w:rsidRPr="00B46BBE">
        <w:t xml:space="preserve">за счёт обучения инструментам «включения» частной инициативы </w:t>
      </w:r>
      <w:r w:rsidR="005124CC">
        <w:t>и</w:t>
      </w:r>
      <w:r w:rsidRPr="00B46BBE">
        <w:t xml:space="preserve"> </w:t>
      </w:r>
      <w:r w:rsidRPr="00B46BBE">
        <w:rPr>
          <w:bCs/>
        </w:rPr>
        <w:t>вовлечения населения.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t xml:space="preserve">Вовлечение в развитие муниципалитетов ключевых </w:t>
      </w:r>
      <w:r w:rsidRPr="00B46BBE">
        <w:rPr>
          <w:bCs/>
        </w:rPr>
        <w:t xml:space="preserve">заинтересованных сторон </w:t>
      </w:r>
      <w:r w:rsidRPr="00B46BBE">
        <w:t xml:space="preserve">(помимо администраций МО): </w:t>
      </w:r>
      <w:r>
        <w:t xml:space="preserve">активного </w:t>
      </w:r>
      <w:r w:rsidRPr="00B46BBE">
        <w:t xml:space="preserve">населения, </w:t>
      </w:r>
      <w:r>
        <w:t xml:space="preserve">представителей </w:t>
      </w:r>
      <w:r w:rsidRPr="00B46BBE">
        <w:t xml:space="preserve">бизнеса, </w:t>
      </w:r>
      <w:r>
        <w:t xml:space="preserve">НКО, </w:t>
      </w:r>
      <w:r w:rsidRPr="00B46BBE">
        <w:t>институтов поддержки</w:t>
      </w:r>
      <w:r>
        <w:t>/развития</w:t>
      </w:r>
      <w:r w:rsidRPr="00B46BBE">
        <w:t xml:space="preserve"> и т.д.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t xml:space="preserve">Стимулирование </w:t>
      </w:r>
      <w:r w:rsidRPr="00B46BBE">
        <w:rPr>
          <w:bCs/>
        </w:rPr>
        <w:t xml:space="preserve">межмуниципального сотрудничества </w:t>
      </w:r>
      <w:r w:rsidRPr="00B46BBE">
        <w:t>и межмуниципальных проектов социально-экономического развития</w:t>
      </w:r>
      <w:r>
        <w:t xml:space="preserve"> территорий</w:t>
      </w:r>
      <w:r w:rsidRPr="00B46BBE">
        <w:t>.</w:t>
      </w:r>
    </w:p>
    <w:p w:rsidR="0051524B" w:rsidRPr="00B46BBE" w:rsidRDefault="0051524B" w:rsidP="0051524B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B46BBE">
        <w:t xml:space="preserve">Рост уровня </w:t>
      </w:r>
      <w:r w:rsidRPr="00B46BBE">
        <w:rPr>
          <w:bCs/>
        </w:rPr>
        <w:t>профессионализма</w:t>
      </w:r>
      <w:r w:rsidRPr="00B46BBE">
        <w:t xml:space="preserve"> администрации муниципалитетов.</w:t>
      </w:r>
    </w:p>
    <w:p w:rsidR="0051524B" w:rsidRDefault="0051524B" w:rsidP="0051524B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:rsidR="0051524B" w:rsidRDefault="0051524B" w:rsidP="0051524B">
      <w:pPr>
        <w:pStyle w:val="10"/>
        <w:contextualSpacing w:val="0"/>
        <w:rPr>
          <w:highlight w:val="white"/>
        </w:rPr>
      </w:pPr>
      <w:r>
        <w:rPr>
          <w:b/>
          <w:highlight w:val="white"/>
        </w:rPr>
        <w:t>Семь принципов реализации Программы</w:t>
      </w:r>
      <w:r>
        <w:rPr>
          <w:highlight w:val="white"/>
        </w:rPr>
        <w:t>: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Результат</w:t>
      </w:r>
      <w:r w:rsidRPr="00477BB0">
        <w:rPr>
          <w:highlight w:val="white"/>
        </w:rPr>
        <w:t xml:space="preserve">. Нацеленность Программы на получение целевых результатов и стимулирование </w:t>
      </w:r>
      <w:r w:rsidRPr="00B46BBE">
        <w:t xml:space="preserve">социально-экономического </w:t>
      </w:r>
      <w:r w:rsidRPr="00477BB0">
        <w:rPr>
          <w:highlight w:val="white"/>
        </w:rPr>
        <w:t>развития муниципалитетов управленческими командами.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Многосторонность</w:t>
      </w:r>
      <w:r w:rsidRPr="00477BB0">
        <w:rPr>
          <w:highlight w:val="white"/>
        </w:rPr>
        <w:t>. Участие в Программе и её проектах всех ключевых заинтересованных сторон, которым предстоит реализация разработанных проектных инициатив на территории</w:t>
      </w:r>
      <w:r>
        <w:rPr>
          <w:highlight w:val="white"/>
        </w:rPr>
        <w:t xml:space="preserve"> (</w:t>
      </w:r>
      <w:r>
        <w:t xml:space="preserve">активного </w:t>
      </w:r>
      <w:r w:rsidRPr="00B46BBE">
        <w:t xml:space="preserve">населения, </w:t>
      </w:r>
      <w:r>
        <w:t xml:space="preserve">представителей </w:t>
      </w:r>
      <w:r w:rsidRPr="00B46BBE">
        <w:t xml:space="preserve">бизнеса, </w:t>
      </w:r>
      <w:r>
        <w:t>НКО, РОИВ и т.п.)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Комплексность</w:t>
      </w:r>
      <w:r w:rsidRPr="00477BB0">
        <w:rPr>
          <w:highlight w:val="white"/>
        </w:rPr>
        <w:t>. Программа социально-экономического проектирования затрагивает все наиболее значимые направления развития территорий муниципалитетов.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lastRenderedPageBreak/>
        <w:t>Экспертность</w:t>
      </w:r>
      <w:r w:rsidRPr="00477BB0">
        <w:rPr>
          <w:highlight w:val="white"/>
        </w:rPr>
        <w:t xml:space="preserve">. Применение </w:t>
      </w:r>
      <w:r>
        <w:rPr>
          <w:highlight w:val="white"/>
        </w:rPr>
        <w:t xml:space="preserve">в Программе </w:t>
      </w:r>
      <w:r w:rsidRPr="00477BB0">
        <w:rPr>
          <w:highlight w:val="white"/>
        </w:rPr>
        <w:t>передовых знаний, лучших реализованных практик и проектно-ориентированных методов работы с кросс-функциональными командами.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Партнёрство</w:t>
      </w:r>
      <w:r w:rsidRPr="00477BB0">
        <w:rPr>
          <w:highlight w:val="white"/>
        </w:rPr>
        <w:t xml:space="preserve">. Выстраивание партнёрских </w:t>
      </w:r>
      <w:r>
        <w:rPr>
          <w:highlight w:val="white"/>
        </w:rPr>
        <w:t xml:space="preserve">взаимовыгодных </w:t>
      </w:r>
      <w:r w:rsidRPr="00477BB0">
        <w:rPr>
          <w:highlight w:val="white"/>
        </w:rPr>
        <w:t>отношений между всеми заинтересованными сторонами как внутри муниципалитета, так и между муниципалитетами.</w:t>
      </w:r>
    </w:p>
    <w:p w:rsidR="0051524B" w:rsidRPr="00477BB0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Реализация</w:t>
      </w:r>
      <w:r w:rsidRPr="00477BB0">
        <w:rPr>
          <w:highlight w:val="white"/>
        </w:rPr>
        <w:t>. Безотлагательное применение полученных в Программе знаний и сформированных проектных намерений для социально-экономического развития муниципалитетов-участников Программы</w:t>
      </w:r>
      <w:r>
        <w:rPr>
          <w:highlight w:val="white"/>
        </w:rPr>
        <w:t xml:space="preserve"> (уже на межмодульных перерывах и сразу после окончания Программы)</w:t>
      </w:r>
      <w:r w:rsidRPr="00477BB0">
        <w:rPr>
          <w:highlight w:val="white"/>
        </w:rPr>
        <w:t>.</w:t>
      </w:r>
    </w:p>
    <w:p w:rsidR="0051524B" w:rsidRPr="00C93975" w:rsidRDefault="0051524B" w:rsidP="0051524B">
      <w:pPr>
        <w:pStyle w:val="10"/>
        <w:numPr>
          <w:ilvl w:val="0"/>
          <w:numId w:val="9"/>
        </w:numPr>
        <w:contextualSpacing w:val="0"/>
        <w:rPr>
          <w:highlight w:val="white"/>
        </w:rPr>
      </w:pPr>
      <w:r w:rsidRPr="00477BB0">
        <w:rPr>
          <w:b/>
          <w:bCs/>
          <w:highlight w:val="white"/>
        </w:rPr>
        <w:t>Спиральность</w:t>
      </w:r>
      <w:r w:rsidRPr="00477BB0">
        <w:rPr>
          <w:highlight w:val="white"/>
        </w:rPr>
        <w:t xml:space="preserve">. Цикличный характер </w:t>
      </w:r>
      <w:r>
        <w:rPr>
          <w:highlight w:val="white"/>
        </w:rPr>
        <w:t>Программы</w:t>
      </w:r>
      <w:r w:rsidRPr="00477BB0">
        <w:rPr>
          <w:highlight w:val="white"/>
        </w:rPr>
        <w:t xml:space="preserve"> с повторением каждый год на более глубоком экспертном и методологическом уровне с привлечением лучших реализованных практик</w:t>
      </w:r>
      <w:r>
        <w:rPr>
          <w:highlight w:val="white"/>
        </w:rPr>
        <w:t xml:space="preserve"> </w:t>
      </w:r>
      <w:r w:rsidRPr="00477BB0">
        <w:rPr>
          <w:highlight w:val="white"/>
        </w:rPr>
        <w:t>муниципалитет</w:t>
      </w:r>
      <w:r>
        <w:rPr>
          <w:highlight w:val="white"/>
        </w:rPr>
        <w:t>ами</w:t>
      </w:r>
      <w:r w:rsidRPr="00477BB0">
        <w:rPr>
          <w:highlight w:val="white"/>
        </w:rPr>
        <w:t>-участник</w:t>
      </w:r>
      <w:r>
        <w:rPr>
          <w:highlight w:val="white"/>
        </w:rPr>
        <w:t>ами</w:t>
      </w:r>
      <w:r w:rsidRPr="00477BB0">
        <w:rPr>
          <w:highlight w:val="white"/>
        </w:rPr>
        <w:t xml:space="preserve"> Программы.</w:t>
      </w:r>
    </w:p>
    <w:p w:rsidR="0051524B" w:rsidRDefault="0051524B" w:rsidP="0051524B">
      <w:pPr>
        <w:pStyle w:val="10"/>
        <w:ind w:left="360"/>
        <w:contextualSpacing w:val="0"/>
      </w:pPr>
    </w:p>
    <w:p w:rsidR="00D657B4" w:rsidRPr="00C764DE" w:rsidRDefault="00D657B4" w:rsidP="00D657B4">
      <w:pPr>
        <w:pStyle w:val="10"/>
        <w:contextualSpacing w:val="0"/>
        <w:rPr>
          <w:b/>
          <w:highlight w:val="white"/>
        </w:rPr>
      </w:pPr>
      <w:r w:rsidRPr="00C764DE">
        <w:rPr>
          <w:b/>
          <w:highlight w:val="white"/>
        </w:rPr>
        <w:t>Особенности реализации образовательной Программы:</w:t>
      </w:r>
    </w:p>
    <w:p w:rsidR="00E251A3" w:rsidRDefault="00E251A3" w:rsidP="00E251A3">
      <w:pPr>
        <w:pStyle w:val="10"/>
        <w:contextualSpacing w:val="0"/>
      </w:pPr>
      <w:r>
        <w:t xml:space="preserve">Образовательная Программа </w:t>
      </w:r>
      <w:r w:rsidRPr="0038265F">
        <w:t xml:space="preserve">для сельских поселений </w:t>
      </w:r>
      <w:r>
        <w:t xml:space="preserve">содержит </w:t>
      </w:r>
      <w:r w:rsidRPr="0038265F">
        <w:t>4</w:t>
      </w:r>
      <w:r>
        <w:t xml:space="preserve"> модуля по 4 дня с очным обучением, проектными работами, межмодульным дистанционным обучением, консультациями и самостоятельной работой. </w:t>
      </w:r>
    </w:p>
    <w:p w:rsidR="00E251A3" w:rsidRDefault="00E251A3" w:rsidP="0051524B">
      <w:pPr>
        <w:pStyle w:val="10"/>
        <w:contextualSpacing w:val="0"/>
      </w:pPr>
    </w:p>
    <w:p w:rsidR="0051524B" w:rsidRPr="008779CA" w:rsidRDefault="0051524B" w:rsidP="0051524B">
      <w:pPr>
        <w:pStyle w:val="10"/>
        <w:contextualSpacing w:val="0"/>
        <w:rPr>
          <w:bCs/>
        </w:rPr>
      </w:pPr>
      <w:r w:rsidRPr="008779CA">
        <w:rPr>
          <w:bCs/>
        </w:rPr>
        <w:t xml:space="preserve">Модули </w:t>
      </w:r>
      <w:r w:rsidR="00B34AA4">
        <w:rPr>
          <w:bCs/>
        </w:rPr>
        <w:t>П</w:t>
      </w:r>
      <w:r w:rsidRPr="008779CA">
        <w:rPr>
          <w:bCs/>
        </w:rPr>
        <w:t>рограммы:</w:t>
      </w:r>
    </w:p>
    <w:p w:rsidR="00B34AA4" w:rsidRDefault="00B34AA4" w:rsidP="00B34AA4">
      <w:pPr>
        <w:pStyle w:val="10"/>
        <w:numPr>
          <w:ilvl w:val="0"/>
          <w:numId w:val="5"/>
        </w:numPr>
      </w:pPr>
      <w:r w:rsidRPr="00B34AA4">
        <w:rPr>
          <w:b/>
        </w:rPr>
        <w:t>Модуль 1</w:t>
      </w:r>
      <w:r>
        <w:t>. Инструменты развития экономики сельских территорий. Анализ ситуации и ресурсов развития.</w:t>
      </w:r>
    </w:p>
    <w:p w:rsidR="00B34AA4" w:rsidRDefault="00B34AA4" w:rsidP="00B34AA4">
      <w:pPr>
        <w:pStyle w:val="10"/>
        <w:numPr>
          <w:ilvl w:val="0"/>
          <w:numId w:val="5"/>
        </w:numPr>
      </w:pPr>
      <w:r w:rsidRPr="00B34AA4">
        <w:rPr>
          <w:b/>
        </w:rPr>
        <w:t>Модуль 2</w:t>
      </w:r>
      <w:r>
        <w:t>. Проектная деятельность и проектная команда. Территориальный маркетинг.</w:t>
      </w:r>
    </w:p>
    <w:p w:rsidR="00B34AA4" w:rsidRDefault="00B34AA4" w:rsidP="00B34AA4">
      <w:pPr>
        <w:pStyle w:val="10"/>
        <w:numPr>
          <w:ilvl w:val="0"/>
          <w:numId w:val="5"/>
        </w:numPr>
      </w:pPr>
      <w:r w:rsidRPr="00B34AA4">
        <w:rPr>
          <w:b/>
        </w:rPr>
        <w:t>Модуль 3</w:t>
      </w:r>
      <w:r>
        <w:t>. Развитие сельского туризма. Привлечение финансирования, меры поддержки и ГЧП / МЧП.</w:t>
      </w:r>
    </w:p>
    <w:p w:rsidR="00B34AA4" w:rsidRDefault="00B34AA4" w:rsidP="00B34AA4">
      <w:pPr>
        <w:pStyle w:val="10"/>
        <w:numPr>
          <w:ilvl w:val="0"/>
          <w:numId w:val="5"/>
        </w:numPr>
      </w:pPr>
      <w:r w:rsidRPr="00B34AA4">
        <w:rPr>
          <w:b/>
        </w:rPr>
        <w:t>Модуль 4</w:t>
      </w:r>
      <w:r>
        <w:t>. Инструменты работы над проектом. Развитие межмуниципального сотрудничества и кооперации. Благоустройство  территории и активизация населения, ТОС.</w:t>
      </w:r>
    </w:p>
    <w:p w:rsidR="0051524B" w:rsidRDefault="0051524B" w:rsidP="0051524B">
      <w:pPr>
        <w:pStyle w:val="10"/>
        <w:contextualSpacing w:val="0"/>
        <w:jc w:val="center"/>
        <w:rPr>
          <w:b/>
          <w:sz w:val="28"/>
          <w:szCs w:val="28"/>
        </w:rPr>
      </w:pPr>
    </w:p>
    <w:p w:rsidR="00A5176B" w:rsidRDefault="00A5176B" w:rsidP="00A5176B">
      <w:pPr>
        <w:pStyle w:val="10"/>
        <w:contextualSpacing w:val="0"/>
      </w:pPr>
      <w:r>
        <w:t xml:space="preserve">Очные модули Программы проходят 1 раз в 1-2 месяца. Каждый модуль посвящён: </w:t>
      </w:r>
    </w:p>
    <w:p w:rsidR="00A5176B" w:rsidRDefault="00A5176B" w:rsidP="00A5176B">
      <w:pPr>
        <w:pStyle w:val="10"/>
        <w:numPr>
          <w:ilvl w:val="0"/>
          <w:numId w:val="2"/>
        </w:numPr>
      </w:pPr>
      <w:r>
        <w:t>2-3 ключевым темам (1- 3 день каждого модуля, кроме 4 модуля);</w:t>
      </w:r>
    </w:p>
    <w:p w:rsidR="00A5176B" w:rsidRDefault="00A5176B" w:rsidP="00A5176B">
      <w:pPr>
        <w:pStyle w:val="10"/>
        <w:numPr>
          <w:ilvl w:val="0"/>
          <w:numId w:val="2"/>
        </w:numPr>
      </w:pPr>
      <w:r>
        <w:t xml:space="preserve">проектированию </w:t>
      </w:r>
      <w:r w:rsidRPr="00B46BBE">
        <w:t xml:space="preserve">социально-экономического </w:t>
      </w:r>
      <w:r w:rsidRPr="00477BB0">
        <w:rPr>
          <w:highlight w:val="white"/>
        </w:rPr>
        <w:t>развития муниципалитетов</w:t>
      </w:r>
      <w:r>
        <w:t>, работе над своим проектом развития территории по теме модуля (4 день каждого модуля, на 4 модуле - 3 день).</w:t>
      </w:r>
    </w:p>
    <w:p w:rsidR="00A5176B" w:rsidRDefault="00A5176B" w:rsidP="00A5176B">
      <w:pPr>
        <w:pStyle w:val="10"/>
        <w:contextualSpacing w:val="0"/>
      </w:pPr>
    </w:p>
    <w:p w:rsidR="00A5176B" w:rsidRPr="00804ABD" w:rsidRDefault="00A5176B" w:rsidP="00A5176B">
      <w:pPr>
        <w:pStyle w:val="10"/>
        <w:contextualSpacing w:val="0"/>
      </w:pPr>
      <w:r w:rsidRPr="00804ABD">
        <w:t xml:space="preserve">Программа предполагает участие следующих категорий слушателей от муниципальных образований: 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главы муниципальн</w:t>
      </w:r>
      <w:r w:rsidR="003A7C28" w:rsidRPr="00A42EB0">
        <w:t>ого</w:t>
      </w:r>
      <w:r w:rsidRPr="00A42EB0">
        <w:t xml:space="preserve"> образовани</w:t>
      </w:r>
      <w:r w:rsidR="003A7C28" w:rsidRPr="00A42EB0">
        <w:t>я</w:t>
      </w:r>
      <w:r w:rsidRPr="00A42EB0">
        <w:t xml:space="preserve"> и </w:t>
      </w:r>
      <w:r w:rsidR="003A7C28" w:rsidRPr="00A42EB0">
        <w:t xml:space="preserve">главы администраций </w:t>
      </w:r>
      <w:r w:rsidRPr="00A42EB0">
        <w:t>муниципальных образований;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заместители глав администраций муниципальных образований;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ведущие сотрудники администраций муниципальных образований;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lastRenderedPageBreak/>
        <w:t>выборные должностные лица местного самоуправления;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 xml:space="preserve">представители региона, курирующие развитие МСУ, экономическое и территориальное развитие, а также </w:t>
      </w:r>
      <w:r w:rsidR="0037701D" w:rsidRPr="00A42EB0">
        <w:t>развитие сельских территорий</w:t>
      </w:r>
      <w:r w:rsidRPr="00A42EB0">
        <w:t>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представители бизнеса, заинтересованные в развитии предпринимательских проектов в муниципальном образовании;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представители НКО и активные жители, заинтересованные в развитии социальных проектов в муниципальном образовании;</w:t>
      </w:r>
    </w:p>
    <w:p w:rsidR="00A5176B" w:rsidRPr="00A42EB0" w:rsidRDefault="00A5176B" w:rsidP="00A5176B">
      <w:pPr>
        <w:pStyle w:val="10"/>
        <w:numPr>
          <w:ilvl w:val="0"/>
          <w:numId w:val="15"/>
        </w:numPr>
        <w:contextualSpacing w:val="0"/>
      </w:pPr>
      <w:r w:rsidRPr="00A42EB0">
        <w:t>другие, заинтересованные в развитии территории и бизнес-среды стороны в муниципальном образовании.</w:t>
      </w:r>
    </w:p>
    <w:p w:rsidR="00A5176B" w:rsidRDefault="00A5176B" w:rsidP="0051524B">
      <w:pPr>
        <w:pStyle w:val="10"/>
        <w:contextualSpacing w:val="0"/>
        <w:rPr>
          <w:b/>
          <w:sz w:val="28"/>
          <w:szCs w:val="28"/>
        </w:rPr>
      </w:pPr>
    </w:p>
    <w:p w:rsidR="00E10A19" w:rsidRDefault="00E10A19" w:rsidP="00E10A19">
      <w:pPr>
        <w:pStyle w:val="10"/>
        <w:contextualSpacing w:val="0"/>
      </w:pPr>
      <w:r>
        <w:t>Особенности Программы: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>В течение всей Программы участники работают над различными аспектами проекта социально-экономического развития своего муниципального образования.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>Участники Программы по каждому модулю получают учебно-методические материалы и все презентации, демонстрируемые на модуле экспертами.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 xml:space="preserve">В Программе консультируют и преподают эксперты-практики. </w:t>
      </w:r>
      <w:r w:rsidRPr="00B46BBE">
        <w:t>Социально-экономическо</w:t>
      </w:r>
      <w:r>
        <w:t>е</w:t>
      </w:r>
      <w:r w:rsidRPr="00B46BBE">
        <w:t xml:space="preserve"> </w:t>
      </w:r>
      <w:r>
        <w:t>проектирование курирует методолог Программы (Крылов Андрей Владимирович).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>Между модулями Программы предусмотрены консультации по доработке и внедрению проекта, а также 1 тематический вебинар по теме модуля. Вебинары и он-лайн консультации записываются на видео, участники Программы могут воспользоваться записью.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>В финале Программы её участники защищают проект социально-экономического развития своего муниципального образования перед компетентной комиссией.</w:t>
      </w:r>
    </w:p>
    <w:p w:rsidR="00E10A19" w:rsidRDefault="00E10A19" w:rsidP="00E10A19">
      <w:pPr>
        <w:pStyle w:val="10"/>
        <w:numPr>
          <w:ilvl w:val="0"/>
          <w:numId w:val="2"/>
        </w:numPr>
        <w:contextualSpacing w:val="0"/>
      </w:pPr>
      <w:r>
        <w:t>Комиссия даёт обратную связь и рекомендации</w:t>
      </w:r>
      <w:r w:rsidRPr="00BC3E45">
        <w:t xml:space="preserve"> </w:t>
      </w:r>
      <w:r>
        <w:t>по каждому проекту социально-экономического развития муниципалитета.</w:t>
      </w:r>
    </w:p>
    <w:p w:rsidR="00E10A19" w:rsidRDefault="00E10A19" w:rsidP="00E10A19">
      <w:pPr>
        <w:pStyle w:val="10"/>
        <w:contextualSpacing w:val="0"/>
      </w:pPr>
    </w:p>
    <w:p w:rsidR="00E10A19" w:rsidRDefault="00E10A19" w:rsidP="00E10A19">
      <w:pPr>
        <w:pStyle w:val="10"/>
        <w:contextualSpacing w:val="0"/>
      </w:pPr>
      <w:r>
        <w:t>Всего по Программе не менее 2</w:t>
      </w:r>
      <w:r w:rsidR="00B40DED">
        <w:t>5</w:t>
      </w:r>
      <w:r>
        <w:t>0 ак.часов, в т.ч.:</w:t>
      </w:r>
    </w:p>
    <w:p w:rsidR="00E10A19" w:rsidRDefault="00E10A19" w:rsidP="00E10A19">
      <w:pPr>
        <w:pStyle w:val="10"/>
        <w:numPr>
          <w:ilvl w:val="0"/>
          <w:numId w:val="10"/>
        </w:numPr>
        <w:contextualSpacing w:val="0"/>
      </w:pPr>
      <w:r>
        <w:t xml:space="preserve">на очной части не менее </w:t>
      </w:r>
      <w:r w:rsidR="001418B6">
        <w:t>144</w:t>
      </w:r>
      <w:r>
        <w:t xml:space="preserve"> ак. часов (обучение, проектирование, очные консультации), </w:t>
      </w:r>
    </w:p>
    <w:p w:rsidR="00E10A19" w:rsidRDefault="00E10A19" w:rsidP="00E10A19">
      <w:pPr>
        <w:pStyle w:val="10"/>
        <w:numPr>
          <w:ilvl w:val="0"/>
          <w:numId w:val="10"/>
        </w:numPr>
        <w:contextualSpacing w:val="0"/>
      </w:pPr>
      <w:r>
        <w:t xml:space="preserve">на дистанционной части (вебинары и он-лайн консультации) не менее 30 ак. часов, </w:t>
      </w:r>
    </w:p>
    <w:p w:rsidR="00E10A19" w:rsidRDefault="00E10A19" w:rsidP="00E10A19">
      <w:pPr>
        <w:pStyle w:val="10"/>
        <w:numPr>
          <w:ilvl w:val="0"/>
          <w:numId w:val="10"/>
        </w:numPr>
        <w:contextualSpacing w:val="0"/>
      </w:pPr>
      <w:r>
        <w:t xml:space="preserve">самостоятельная работа участников не менее </w:t>
      </w:r>
      <w:r w:rsidR="001418B6">
        <w:t>76</w:t>
      </w:r>
      <w:r>
        <w:t xml:space="preserve"> ак. часов.</w:t>
      </w:r>
    </w:p>
    <w:p w:rsidR="00E10A19" w:rsidRDefault="00E10A19" w:rsidP="00E10A19">
      <w:pPr>
        <w:pStyle w:val="10"/>
        <w:contextualSpacing w:val="0"/>
        <w:jc w:val="both"/>
      </w:pPr>
      <w:r>
        <w:t xml:space="preserve">Участникам Программы по итогам её прохождения и успешной защиты своего проекта выдаётся </w:t>
      </w:r>
      <w:r w:rsidR="00A42EB0">
        <w:t>Диплом</w:t>
      </w:r>
      <w:r>
        <w:t xml:space="preserve"> </w:t>
      </w:r>
      <w:r w:rsidRPr="00A42EB0">
        <w:t>о профессиональной переподготовке Российского государственного социального университета (РГСУ).</w:t>
      </w:r>
    </w:p>
    <w:p w:rsidR="0051524B" w:rsidRDefault="0051524B" w:rsidP="0051524B">
      <w:pPr>
        <w:pStyle w:val="10"/>
        <w:contextualSpacing w:val="0"/>
      </w:pPr>
    </w:p>
    <w:p w:rsidR="0051524B" w:rsidRDefault="0051524B" w:rsidP="0051524B">
      <w:pPr>
        <w:pStyle w:val="10"/>
        <w:contextualSpacing w:val="0"/>
      </w:pPr>
    </w:p>
    <w:p w:rsidR="0051524B" w:rsidRDefault="0051524B" w:rsidP="0051524B">
      <w:pPr>
        <w:pStyle w:val="10"/>
        <w:contextualSpacing w:val="0"/>
        <w:rPr>
          <w:b/>
        </w:rPr>
      </w:pPr>
      <w:r>
        <w:t>Модули образовательной программы для сельских поселений:</w:t>
      </w:r>
    </w:p>
    <w:p w:rsidR="0051524B" w:rsidRDefault="0051524B" w:rsidP="0051524B">
      <w:pPr>
        <w:pStyle w:val="10"/>
        <w:contextualSpacing w:val="0"/>
        <w:rPr>
          <w:b/>
        </w:rPr>
      </w:pPr>
    </w:p>
    <w:p w:rsidR="0051524B" w:rsidRDefault="0051524B" w:rsidP="0051524B">
      <w:pPr>
        <w:pStyle w:val="10"/>
        <w:contextualSpacing w:val="0"/>
        <w:jc w:val="center"/>
        <w:rPr>
          <w:b/>
        </w:rPr>
      </w:pPr>
      <w:r>
        <w:rPr>
          <w:b/>
        </w:rPr>
        <w:t>План образовательной программы для сельских поселений.</w:t>
      </w:r>
    </w:p>
    <w:tbl>
      <w:tblPr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2084"/>
        <w:gridCol w:w="1984"/>
        <w:gridCol w:w="2206"/>
        <w:gridCol w:w="1960"/>
        <w:gridCol w:w="2178"/>
      </w:tblGrid>
      <w:tr w:rsidR="0051524B" w:rsidTr="00B40DED">
        <w:trPr>
          <w:trHeight w:val="98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Название модулей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  день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Межмодуль</w:t>
            </w:r>
          </w:p>
          <w:p w:rsidR="0051524B" w:rsidRDefault="0051524B" w:rsidP="00D73D87">
            <w:pPr>
              <w:pStyle w:val="1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(удаленно)</w:t>
            </w:r>
          </w:p>
        </w:tc>
      </w:tr>
      <w:tr w:rsidR="0051524B" w:rsidTr="00B40DED">
        <w:trPr>
          <w:trHeight w:val="1991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</w:pPr>
            <w:r>
              <w:rPr>
                <w:b/>
              </w:rPr>
              <w:t>Модуль 1.</w:t>
            </w:r>
            <w:r>
              <w:t xml:space="preserve"> Инструменты развития экономики сельских территорий. Анализ ситуации и ресурсов развития.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и бизнес-среды на сельских территориях. Инструменты поддержки предпринимательства.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Лучшие практики развития сельской (локальной) экономики. Направления социально-экономического развития сельских территорий. Основные заинтересованные стороны. Консультации.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анализа ситуации и ресурсов развития локальной экономики и сельской территории. Консультации.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ситуации и ресурсов развития своей территории. 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проектом развития территории.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Он-лайн консультации и вебинары по теме модулей.</w:t>
            </w:r>
          </w:p>
        </w:tc>
      </w:tr>
      <w:tr w:rsidR="0051524B" w:rsidTr="00B40DED">
        <w:trPr>
          <w:trHeight w:val="1499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B40DED">
            <w:pPr>
              <w:pStyle w:val="10"/>
              <w:contextualSpacing w:val="0"/>
            </w:pPr>
            <w:r>
              <w:rPr>
                <w:b/>
              </w:rPr>
              <w:t>Модуль 2.</w:t>
            </w:r>
            <w:r>
              <w:t xml:space="preserve"> Проектная деятельность и проектная команда. Территориальный маркетинг.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 в органах исполнительной власти. Организация и работа проектных офисов.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команда: формирование, мотивация, методы работы. 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маркетинг, брендинг, продвижение сельских территорий и их продуктов / услуг. Консультации.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Модерируемая работа над проектом развития территории по темам модуля.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проектом развития территории.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</w:p>
          <w:p w:rsidR="0051524B" w:rsidRDefault="0051524B" w:rsidP="00B40DED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Он-лайн консультации и вебинары по теме модулей.</w:t>
            </w:r>
          </w:p>
        </w:tc>
      </w:tr>
      <w:tr w:rsidR="0051524B" w:rsidTr="00B34AA4">
        <w:trPr>
          <w:trHeight w:val="182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</w:pPr>
            <w:r>
              <w:rPr>
                <w:b/>
              </w:rPr>
              <w:t>Модуль 3.</w:t>
            </w:r>
            <w:r>
              <w:t xml:space="preserve"> Развитие сельского туризма. Привлечение финансирования, меры поддержки и ГЧП / МЧП.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B34AA4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туризма на сельской территории. Создание и развитие туристических продуктов. Лучшие практики развития сельского туризма. Направ</w:t>
            </w:r>
            <w:r w:rsidR="00B34AA4">
              <w:rPr>
                <w:sz w:val="18"/>
                <w:szCs w:val="18"/>
              </w:rPr>
              <w:t>ления кооперации города и села.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финансирования, инвестиций и имеющиеся меры поддержки. Государственно-частное партнёрство (ГЧП, МЧП, концессии).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B34AA4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Модерируемая работа над проектом развития территории по теме модуля.</w:t>
            </w:r>
            <w:r w:rsidR="00B34A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проектом развития территории.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Он-лайн консультации и вебинары по теме модулей.</w:t>
            </w:r>
          </w:p>
        </w:tc>
      </w:tr>
      <w:tr w:rsidR="0051524B" w:rsidTr="00B40DED">
        <w:trPr>
          <w:trHeight w:val="1100"/>
        </w:trPr>
        <w:tc>
          <w:tcPr>
            <w:tcW w:w="35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</w:pPr>
            <w:r>
              <w:rPr>
                <w:b/>
              </w:rPr>
              <w:lastRenderedPageBreak/>
              <w:t>Модуль 4.</w:t>
            </w:r>
            <w:r>
              <w:t xml:space="preserve"> Инструменты работы над проектом. Развитие межмуниципального сотрудничеств</w:t>
            </w:r>
            <w:r w:rsidR="00B34AA4">
              <w:t>а и кооперации. Благоустройство</w:t>
            </w:r>
            <w:r>
              <w:t xml:space="preserve"> территории и активизация населения</w:t>
            </w:r>
            <w:r w:rsidR="00B34AA4">
              <w:t>, ТОС</w:t>
            </w:r>
            <w:r>
              <w:t>.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основными заинтересованными сторонами при подготовке и реализации проекта. Основные риски реализации проектов развития территории и методы работы с ними.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Межмуниципальное  сотрудничество и кооперация.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Модерируемая работа над своим проектом развития территории.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Защиты участниками своего проекта и обратная связь по итогам модуля и всей образовательной программы.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Консультации.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Он-лайн консультации по внедрению и реализации проекта своего проекта развития территории.</w:t>
            </w: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</w:p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необходимости, экспертные поддерживающие вебинары.</w:t>
            </w:r>
          </w:p>
        </w:tc>
      </w:tr>
      <w:tr w:rsidR="0051524B" w:rsidTr="00B40DED">
        <w:trPr>
          <w:trHeight w:val="1100"/>
        </w:trPr>
        <w:tc>
          <w:tcPr>
            <w:tcW w:w="3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</w:pPr>
          </w:p>
        </w:tc>
        <w:tc>
          <w:tcPr>
            <w:tcW w:w="20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widowControl w:val="0"/>
              <w:contextualSpacing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 территории и активизация населения.</w:t>
            </w:r>
            <w:r w:rsidR="00B34AA4">
              <w:rPr>
                <w:sz w:val="18"/>
                <w:szCs w:val="18"/>
              </w:rPr>
              <w:t xml:space="preserve"> ТОС.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Эффективная презентация и публичные выступление (тренинг). </w:t>
            </w:r>
          </w:p>
        </w:tc>
        <w:tc>
          <w:tcPr>
            <w:tcW w:w="1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contextualSpacing w:val="0"/>
            </w:pPr>
          </w:p>
        </w:tc>
        <w:tc>
          <w:tcPr>
            <w:tcW w:w="21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24B" w:rsidRDefault="0051524B" w:rsidP="00D73D87">
            <w:pPr>
              <w:pStyle w:val="10"/>
              <w:widowControl w:val="0"/>
              <w:contextualSpacing w:val="0"/>
            </w:pPr>
          </w:p>
        </w:tc>
      </w:tr>
    </w:tbl>
    <w:p w:rsidR="0051524B" w:rsidRDefault="0051524B" w:rsidP="0051524B">
      <w:pPr>
        <w:pStyle w:val="10"/>
        <w:contextualSpacing w:val="0"/>
      </w:pPr>
    </w:p>
    <w:p w:rsidR="0051524B" w:rsidRDefault="0051524B" w:rsidP="0051524B">
      <w:pPr>
        <w:pStyle w:val="10"/>
        <w:contextualSpacing w:val="0"/>
        <w:jc w:val="center"/>
        <w:rPr>
          <w:b/>
        </w:rPr>
      </w:pPr>
    </w:p>
    <w:p w:rsidR="001D3CEB" w:rsidRDefault="001D3CEB" w:rsidP="001D3CEB">
      <w:pPr>
        <w:pStyle w:val="10"/>
        <w:contextualSpacing w:val="0"/>
        <w:jc w:val="center"/>
        <w:rPr>
          <w:b/>
          <w:sz w:val="28"/>
          <w:szCs w:val="28"/>
        </w:rPr>
      </w:pPr>
    </w:p>
    <w:p w:rsidR="001A04F6" w:rsidRDefault="001D3CEB" w:rsidP="001D3CEB">
      <w:pPr>
        <w:pStyle w:val="10"/>
        <w:contextualSpacing w:val="0"/>
      </w:pPr>
      <w:r w:rsidRPr="00027CE6">
        <w:rPr>
          <w:b/>
        </w:rPr>
        <w:t>Даты проведения Программы</w:t>
      </w:r>
      <w:r w:rsidR="001A04F6">
        <w:rPr>
          <w:b/>
        </w:rPr>
        <w:t xml:space="preserve"> (предварительно)</w:t>
      </w:r>
      <w:r w:rsidRPr="00885A7B">
        <w:t>:</w:t>
      </w:r>
    </w:p>
    <w:p w:rsidR="001D3CEB" w:rsidRDefault="001D3CEB" w:rsidP="001D3CEB">
      <w:pPr>
        <w:pStyle w:val="10"/>
        <w:contextualSpacing w:val="0"/>
      </w:pPr>
      <w:r w:rsidRPr="00885A7B"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81"/>
        <w:gridCol w:w="2120"/>
        <w:gridCol w:w="1691"/>
        <w:gridCol w:w="1691"/>
        <w:gridCol w:w="1691"/>
      </w:tblGrid>
      <w:tr w:rsidR="006E6937" w:rsidTr="006E6937">
        <w:tc>
          <w:tcPr>
            <w:tcW w:w="6981" w:type="dxa"/>
          </w:tcPr>
          <w:p w:rsidR="006E6937" w:rsidRPr="006001D8" w:rsidRDefault="006E6937" w:rsidP="006E6937">
            <w:pPr>
              <w:pStyle w:val="1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Модули </w:t>
            </w:r>
            <w:r w:rsidRPr="00027CE6">
              <w:rPr>
                <w:b/>
              </w:rPr>
              <w:t>Программы</w:t>
            </w:r>
          </w:p>
        </w:tc>
        <w:tc>
          <w:tcPr>
            <w:tcW w:w="2120" w:type="dxa"/>
          </w:tcPr>
          <w:p w:rsidR="006E6937" w:rsidRDefault="006E6937" w:rsidP="00D73D87">
            <w:pPr>
              <w:pStyle w:val="10"/>
              <w:contextualSpacing w:val="0"/>
              <w:jc w:val="center"/>
            </w:pPr>
            <w:r>
              <w:t>Поток 1.</w:t>
            </w:r>
          </w:p>
        </w:tc>
        <w:tc>
          <w:tcPr>
            <w:tcW w:w="1691" w:type="dxa"/>
          </w:tcPr>
          <w:p w:rsidR="006E6937" w:rsidRDefault="006E6937" w:rsidP="00D73D87">
            <w:pPr>
              <w:pStyle w:val="10"/>
              <w:contextualSpacing w:val="0"/>
              <w:jc w:val="center"/>
            </w:pPr>
            <w:r>
              <w:t>Поток 2.</w:t>
            </w:r>
          </w:p>
        </w:tc>
        <w:tc>
          <w:tcPr>
            <w:tcW w:w="1691" w:type="dxa"/>
          </w:tcPr>
          <w:p w:rsidR="006E6937" w:rsidRDefault="006E6937" w:rsidP="00D73D87">
            <w:pPr>
              <w:pStyle w:val="10"/>
              <w:contextualSpacing w:val="0"/>
              <w:jc w:val="center"/>
            </w:pPr>
            <w:r>
              <w:t>Поток 3.</w:t>
            </w:r>
          </w:p>
        </w:tc>
        <w:tc>
          <w:tcPr>
            <w:tcW w:w="1691" w:type="dxa"/>
          </w:tcPr>
          <w:p w:rsidR="006E6937" w:rsidRDefault="006E6937" w:rsidP="00D73D87">
            <w:pPr>
              <w:pStyle w:val="10"/>
              <w:contextualSpacing w:val="0"/>
              <w:jc w:val="center"/>
            </w:pPr>
            <w:r>
              <w:t>Поток 4.</w:t>
            </w:r>
          </w:p>
        </w:tc>
      </w:tr>
      <w:tr w:rsidR="006E6937" w:rsidTr="006E6937">
        <w:tc>
          <w:tcPr>
            <w:tcW w:w="6981" w:type="dxa"/>
          </w:tcPr>
          <w:p w:rsidR="006E6937" w:rsidRPr="006001D8" w:rsidRDefault="006E6937" w:rsidP="006E6937">
            <w:pPr>
              <w:pStyle w:val="10"/>
            </w:pPr>
            <w:r w:rsidRPr="006001D8">
              <w:rPr>
                <w:b/>
              </w:rPr>
              <w:t>Модуль 1</w:t>
            </w:r>
            <w:r w:rsidRPr="006001D8">
              <w:t>. Инструменты развития экономики сельских территорий. Анализ ситуации и ресурсов развития.</w:t>
            </w:r>
          </w:p>
        </w:tc>
        <w:tc>
          <w:tcPr>
            <w:tcW w:w="2120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июнь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июнь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июнь-июль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июнь-июль</w:t>
            </w:r>
          </w:p>
        </w:tc>
      </w:tr>
      <w:tr w:rsidR="006E6937" w:rsidTr="006E6937">
        <w:tc>
          <w:tcPr>
            <w:tcW w:w="6981" w:type="dxa"/>
          </w:tcPr>
          <w:p w:rsidR="006E6937" w:rsidRPr="006001D8" w:rsidRDefault="006E6937" w:rsidP="006E6937">
            <w:pPr>
              <w:pStyle w:val="10"/>
            </w:pPr>
            <w:r w:rsidRPr="006001D8">
              <w:rPr>
                <w:b/>
              </w:rPr>
              <w:t>Модуль 2</w:t>
            </w:r>
            <w:r w:rsidRPr="006001D8">
              <w:t>. Проектная деятельность и проектная команда. Территориальный маркетинг.</w:t>
            </w:r>
          </w:p>
        </w:tc>
        <w:tc>
          <w:tcPr>
            <w:tcW w:w="2120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август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август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август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август</w:t>
            </w:r>
          </w:p>
        </w:tc>
      </w:tr>
      <w:tr w:rsidR="001A04F6" w:rsidTr="006E6937">
        <w:tc>
          <w:tcPr>
            <w:tcW w:w="6981" w:type="dxa"/>
          </w:tcPr>
          <w:p w:rsidR="001A04F6" w:rsidRPr="006001D8" w:rsidRDefault="001A04F6" w:rsidP="006E6937">
            <w:pPr>
              <w:pStyle w:val="10"/>
            </w:pPr>
            <w:r w:rsidRPr="006001D8">
              <w:rPr>
                <w:b/>
              </w:rPr>
              <w:t>Модуль 3</w:t>
            </w:r>
            <w:r w:rsidRPr="006001D8">
              <w:t>. Развитие сельского туризма. Привлечение финансирования, меры поддержки и ГЧП / МЧП.</w:t>
            </w:r>
          </w:p>
        </w:tc>
        <w:tc>
          <w:tcPr>
            <w:tcW w:w="2120" w:type="dxa"/>
          </w:tcPr>
          <w:p w:rsidR="001A04F6" w:rsidRDefault="001A04F6" w:rsidP="001A04F6">
            <w:pPr>
              <w:pStyle w:val="10"/>
              <w:contextualSpacing w:val="0"/>
            </w:pPr>
            <w:r>
              <w:t>сентябрь –</w:t>
            </w:r>
            <w:r w:rsidRPr="00CE0197">
              <w:t>октябр</w:t>
            </w:r>
            <w:r>
              <w:t>ь</w:t>
            </w:r>
          </w:p>
        </w:tc>
        <w:tc>
          <w:tcPr>
            <w:tcW w:w="1691" w:type="dxa"/>
          </w:tcPr>
          <w:p w:rsidR="001A04F6" w:rsidRDefault="001A04F6">
            <w:r w:rsidRPr="00B22B61">
              <w:t>сентябрь –октябрь</w:t>
            </w:r>
          </w:p>
        </w:tc>
        <w:tc>
          <w:tcPr>
            <w:tcW w:w="1691" w:type="dxa"/>
          </w:tcPr>
          <w:p w:rsidR="001A04F6" w:rsidRDefault="001A04F6">
            <w:r w:rsidRPr="00B22B61">
              <w:t>сентябрь –октябрь</w:t>
            </w:r>
          </w:p>
        </w:tc>
        <w:tc>
          <w:tcPr>
            <w:tcW w:w="1691" w:type="dxa"/>
          </w:tcPr>
          <w:p w:rsidR="001A04F6" w:rsidRDefault="001A04F6">
            <w:r w:rsidRPr="00B22B61">
              <w:t>сентябрь –октябрь</w:t>
            </w:r>
          </w:p>
        </w:tc>
      </w:tr>
      <w:tr w:rsidR="006E6937" w:rsidTr="006E6937">
        <w:tc>
          <w:tcPr>
            <w:tcW w:w="6981" w:type="dxa"/>
          </w:tcPr>
          <w:p w:rsidR="006E6937" w:rsidRPr="006001D8" w:rsidRDefault="006E6937" w:rsidP="006E6937">
            <w:pPr>
              <w:pStyle w:val="10"/>
            </w:pPr>
            <w:r w:rsidRPr="006001D8">
              <w:rPr>
                <w:b/>
              </w:rPr>
              <w:t>Модуль 4</w:t>
            </w:r>
            <w:r w:rsidRPr="006001D8">
              <w:t>. Инструменты работы над проектом. Развитие межмуниципального сотрудничества и кооперации. Благоустройство  территории и активизация населения, ТОС.</w:t>
            </w:r>
          </w:p>
        </w:tc>
        <w:tc>
          <w:tcPr>
            <w:tcW w:w="2120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ноябрь</w:t>
            </w:r>
          </w:p>
        </w:tc>
        <w:tc>
          <w:tcPr>
            <w:tcW w:w="1691" w:type="dxa"/>
          </w:tcPr>
          <w:p w:rsidR="006E6937" w:rsidRDefault="001A04F6" w:rsidP="001A04F6">
            <w:pPr>
              <w:pStyle w:val="10"/>
              <w:contextualSpacing w:val="0"/>
            </w:pPr>
            <w:r>
              <w:t xml:space="preserve">ноябрь 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ноябрь</w:t>
            </w:r>
          </w:p>
        </w:tc>
        <w:tc>
          <w:tcPr>
            <w:tcW w:w="1691" w:type="dxa"/>
          </w:tcPr>
          <w:p w:rsidR="006E6937" w:rsidRDefault="001A04F6" w:rsidP="00D73D87">
            <w:pPr>
              <w:pStyle w:val="10"/>
              <w:contextualSpacing w:val="0"/>
            </w:pPr>
            <w:r>
              <w:t>ноябрь</w:t>
            </w:r>
          </w:p>
        </w:tc>
      </w:tr>
    </w:tbl>
    <w:p w:rsidR="001D3CEB" w:rsidRDefault="001D3CEB" w:rsidP="001D3CEB">
      <w:pPr>
        <w:pStyle w:val="10"/>
        <w:contextualSpacing w:val="0"/>
      </w:pPr>
    </w:p>
    <w:p w:rsidR="001D3CEB" w:rsidRDefault="001D3CEB" w:rsidP="001D3CEB">
      <w:pPr>
        <w:pStyle w:val="10"/>
        <w:contextualSpacing w:val="0"/>
      </w:pPr>
    </w:p>
    <w:p w:rsidR="001D3CEB" w:rsidRDefault="001D3CEB" w:rsidP="001D3CEB">
      <w:pPr>
        <w:pStyle w:val="10"/>
        <w:contextualSpacing w:val="0"/>
      </w:pPr>
      <w:r w:rsidRPr="00246EF9">
        <w:rPr>
          <w:b/>
        </w:rPr>
        <w:t>Стоимость участия в Программе</w:t>
      </w:r>
      <w:r>
        <w:t xml:space="preserve"> </w:t>
      </w:r>
      <w:r w:rsidR="000C3D79" w:rsidRPr="000C3D79">
        <w:t xml:space="preserve">для сельских поселений </w:t>
      </w:r>
      <w:r>
        <w:t xml:space="preserve">включает: </w:t>
      </w:r>
    </w:p>
    <w:p w:rsidR="001D3CEB" w:rsidRDefault="001D3CEB" w:rsidP="001D3CEB">
      <w:pPr>
        <w:pStyle w:val="10"/>
        <w:numPr>
          <w:ilvl w:val="0"/>
          <w:numId w:val="1"/>
        </w:numPr>
      </w:pPr>
      <w:r>
        <w:t>очное обучение на модулях;</w:t>
      </w:r>
    </w:p>
    <w:p w:rsidR="001D3CEB" w:rsidRDefault="001D3CEB" w:rsidP="001D3CEB">
      <w:pPr>
        <w:pStyle w:val="10"/>
        <w:numPr>
          <w:ilvl w:val="0"/>
          <w:numId w:val="1"/>
        </w:numPr>
      </w:pPr>
      <w:r>
        <w:t>учебно-методические материалы;</w:t>
      </w:r>
    </w:p>
    <w:p w:rsidR="001D3CEB" w:rsidRDefault="001D3CEB" w:rsidP="001D3CEB">
      <w:pPr>
        <w:pStyle w:val="10"/>
        <w:numPr>
          <w:ilvl w:val="0"/>
          <w:numId w:val="1"/>
        </w:numPr>
      </w:pPr>
      <w:r>
        <w:t>консультации и вебинары в межмодульное время;</w:t>
      </w:r>
    </w:p>
    <w:p w:rsidR="001D3CEB" w:rsidRDefault="001D3CEB" w:rsidP="001D3CEB">
      <w:pPr>
        <w:pStyle w:val="10"/>
        <w:numPr>
          <w:ilvl w:val="0"/>
          <w:numId w:val="1"/>
        </w:numPr>
      </w:pPr>
      <w:r>
        <w:t>участие в закрытой он-лайн группе Программы;</w:t>
      </w:r>
    </w:p>
    <w:p w:rsidR="001D3CEB" w:rsidRDefault="001D3CEB" w:rsidP="001D3CEB">
      <w:pPr>
        <w:pStyle w:val="10"/>
        <w:numPr>
          <w:ilvl w:val="0"/>
          <w:numId w:val="1"/>
        </w:numPr>
      </w:pPr>
      <w:r>
        <w:lastRenderedPageBreak/>
        <w:t>выдачу свидетельства о прохождении профессиональной подготовке при успешной защите проекта на 6 модуле. (При обучении на единичных модулях и/или не защите проекта выдается справка).</w:t>
      </w:r>
    </w:p>
    <w:p w:rsidR="001D3CEB" w:rsidRDefault="001D3CEB" w:rsidP="001D3CEB">
      <w:pPr>
        <w:pStyle w:val="10"/>
        <w:contextualSpacing w:val="0"/>
        <w:rPr>
          <w:b/>
          <w:sz w:val="28"/>
          <w:szCs w:val="28"/>
        </w:rPr>
      </w:pPr>
    </w:p>
    <w:p w:rsidR="001D3CEB" w:rsidRDefault="001D3CEB" w:rsidP="001D3CEB">
      <w:pPr>
        <w:pStyle w:val="10"/>
        <w:contextualSpacing w:val="0"/>
        <w:rPr>
          <w:b/>
          <w:sz w:val="28"/>
          <w:szCs w:val="28"/>
        </w:rPr>
      </w:pPr>
      <w:r>
        <w:t xml:space="preserve">Стоимость участия в Программе </w:t>
      </w:r>
      <w:r w:rsidR="000C3D79" w:rsidRPr="000C3D79">
        <w:t>для сельских поселений</w:t>
      </w:r>
      <w:r>
        <w:t>:</w:t>
      </w:r>
    </w:p>
    <w:tbl>
      <w:tblPr>
        <w:tblW w:w="11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7796"/>
      </w:tblGrid>
      <w:tr w:rsidR="00CE0DD2" w:rsidTr="00CE0DD2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DD2" w:rsidRDefault="00CE0DD2" w:rsidP="00D73D87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DD2" w:rsidRDefault="00CE0DD2" w:rsidP="00D73D87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Скидки от количества участников от одного муниципального образования на участие в Программе</w:t>
            </w:r>
          </w:p>
        </w:tc>
      </w:tr>
      <w:tr w:rsidR="00CE0DD2" w:rsidTr="00CE0DD2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DD2" w:rsidRDefault="001418B6" w:rsidP="00A42EB0">
            <w:pPr>
              <w:pStyle w:val="10"/>
              <w:ind w:left="360"/>
              <w:contextualSpacing w:val="0"/>
            </w:pPr>
            <w:r>
              <w:rPr>
                <w:b/>
              </w:rPr>
              <w:t xml:space="preserve">Обучение </w:t>
            </w:r>
            <w:r w:rsidRPr="001F7675">
              <w:rPr>
                <w:b/>
                <w:u w:val="single"/>
              </w:rPr>
              <w:t>на всех</w:t>
            </w:r>
            <w:r>
              <w:rPr>
                <w:b/>
              </w:rPr>
              <w:t xml:space="preserve"> модулях + вебинары и консультации – </w:t>
            </w:r>
            <w:r w:rsidR="006B5995">
              <w:rPr>
                <w:b/>
              </w:rPr>
              <w:t xml:space="preserve">156 </w:t>
            </w:r>
            <w:r w:rsidR="00CE0DD2">
              <w:rPr>
                <w:b/>
              </w:rPr>
              <w:t>тыс. руб.</w:t>
            </w:r>
            <w:r w:rsidR="00CE0DD2" w:rsidRPr="001F7675">
              <w:t xml:space="preserve"> </w:t>
            </w:r>
            <w:r w:rsidR="00A42EB0">
              <w:t>(выдается Диплом о профессиональной переподготовке)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DD2" w:rsidRDefault="00CE0DD2" w:rsidP="00D73D87">
            <w:pPr>
              <w:pStyle w:val="10"/>
              <w:contextualSpacing w:val="0"/>
            </w:pPr>
            <w:r>
              <w:t xml:space="preserve">При участии </w:t>
            </w:r>
            <w:r w:rsidR="00C36A9B">
              <w:t>2-3</w:t>
            </w:r>
            <w:r>
              <w:t xml:space="preserve"> участников – </w:t>
            </w:r>
            <w:r w:rsidR="00DE688E">
              <w:t>7</w:t>
            </w:r>
            <w:r>
              <w:t>%  на общую сумму.</w:t>
            </w:r>
          </w:p>
          <w:p w:rsidR="00CE0DD2" w:rsidRDefault="00CE0DD2" w:rsidP="00D73D87">
            <w:pPr>
              <w:pStyle w:val="10"/>
              <w:contextualSpacing w:val="0"/>
            </w:pPr>
            <w:r>
              <w:t xml:space="preserve">При участии </w:t>
            </w:r>
            <w:r w:rsidR="00C36A9B">
              <w:t>4</w:t>
            </w:r>
            <w:r>
              <w:t>-</w:t>
            </w:r>
            <w:r w:rsidR="00C36A9B">
              <w:t>5</w:t>
            </w:r>
            <w:r>
              <w:t xml:space="preserve"> участника – 1</w:t>
            </w:r>
            <w:r w:rsidR="00DE688E">
              <w:t>2</w:t>
            </w:r>
            <w:r>
              <w:t>% на общую сумму.</w:t>
            </w:r>
          </w:p>
          <w:p w:rsidR="00CE0DD2" w:rsidRDefault="00CE0DD2" w:rsidP="00DE688E">
            <w:pPr>
              <w:pStyle w:val="10"/>
              <w:contextualSpacing w:val="0"/>
            </w:pPr>
            <w:r>
              <w:t xml:space="preserve">Начиная с </w:t>
            </w:r>
            <w:r w:rsidR="00C36A9B">
              <w:t>6</w:t>
            </w:r>
            <w:r>
              <w:t xml:space="preserve"> участника от одного муниципального образования – </w:t>
            </w:r>
            <w:r w:rsidR="00DE688E">
              <w:t>15</w:t>
            </w:r>
            <w:r>
              <w:t>% на общую сумму.</w:t>
            </w:r>
          </w:p>
        </w:tc>
      </w:tr>
      <w:tr w:rsidR="001418B6" w:rsidTr="00CE0DD2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8B6" w:rsidRDefault="001418B6" w:rsidP="00F76F78">
            <w:pPr>
              <w:pStyle w:val="10"/>
              <w:ind w:left="360"/>
              <w:contextualSpacing w:val="0"/>
            </w:pPr>
            <w:r>
              <w:rPr>
                <w:b/>
              </w:rPr>
              <w:t xml:space="preserve">Обучение </w:t>
            </w:r>
            <w:r>
              <w:rPr>
                <w:b/>
                <w:u w:val="single"/>
              </w:rPr>
              <w:t>на одном</w:t>
            </w:r>
            <w:r>
              <w:rPr>
                <w:b/>
              </w:rPr>
              <w:t xml:space="preserve"> модуле + вебинары и консультации по данному модулю – 39 тыс. руб.</w:t>
            </w:r>
            <w:r w:rsidRPr="001F7675">
              <w:t xml:space="preserve"> </w:t>
            </w:r>
          </w:p>
          <w:p w:rsidR="001418B6" w:rsidRDefault="00A42EB0" w:rsidP="00A42EB0">
            <w:pPr>
              <w:pStyle w:val="10"/>
              <w:ind w:left="360"/>
              <w:contextualSpacing w:val="0"/>
            </w:pPr>
            <w:r>
              <w:t>(выдается Удостоверение о повышении квалификации)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8B6" w:rsidRDefault="001418B6" w:rsidP="00F76F78">
            <w:pPr>
              <w:pStyle w:val="10"/>
              <w:contextualSpacing w:val="0"/>
            </w:pPr>
            <w:r>
              <w:t xml:space="preserve">При участии 2-3 участников – </w:t>
            </w:r>
            <w:r w:rsidR="00DE688E">
              <w:t>7</w:t>
            </w:r>
            <w:r>
              <w:t>%  на общую сумму.</w:t>
            </w:r>
          </w:p>
          <w:p w:rsidR="001418B6" w:rsidRDefault="001418B6" w:rsidP="00F76F78">
            <w:pPr>
              <w:pStyle w:val="10"/>
              <w:contextualSpacing w:val="0"/>
            </w:pPr>
            <w:r>
              <w:t xml:space="preserve">При участии 4-5 участника – </w:t>
            </w:r>
            <w:r w:rsidR="00DE688E">
              <w:t>12</w:t>
            </w:r>
            <w:r>
              <w:t>% на общую сумму.</w:t>
            </w:r>
          </w:p>
          <w:p w:rsidR="001418B6" w:rsidRDefault="001418B6" w:rsidP="00DE688E">
            <w:pPr>
              <w:pStyle w:val="10"/>
              <w:contextualSpacing w:val="0"/>
            </w:pPr>
            <w:r>
              <w:t xml:space="preserve">Начиная с 6 участника от одного муниципального образования – </w:t>
            </w:r>
            <w:r w:rsidR="00DE688E">
              <w:t>15</w:t>
            </w:r>
            <w:r>
              <w:t>% на общую сумму.</w:t>
            </w:r>
          </w:p>
        </w:tc>
      </w:tr>
    </w:tbl>
    <w:p w:rsidR="001D3CEB" w:rsidRDefault="001D3CEB" w:rsidP="001D3CEB">
      <w:pPr>
        <w:pStyle w:val="10"/>
        <w:contextualSpacing w:val="0"/>
        <w:jc w:val="center"/>
        <w:rPr>
          <w:b/>
          <w:sz w:val="28"/>
          <w:szCs w:val="28"/>
        </w:rPr>
      </w:pPr>
    </w:p>
    <w:p w:rsidR="001D3CEB" w:rsidRPr="0054103D" w:rsidRDefault="001D3CEB" w:rsidP="001D3CEB">
      <w:pPr>
        <w:pStyle w:val="10"/>
        <w:contextualSpacing w:val="0"/>
      </w:pPr>
    </w:p>
    <w:p w:rsidR="001D3CEB" w:rsidRDefault="001D3CEB" w:rsidP="001D3CEB">
      <w:pPr>
        <w:pStyle w:val="10"/>
        <w:contextualSpacing w:val="0"/>
        <w:rPr>
          <w:b/>
          <w:sz w:val="28"/>
          <w:szCs w:val="28"/>
        </w:rPr>
      </w:pPr>
    </w:p>
    <w:p w:rsidR="001D3CEB" w:rsidRPr="0054103D" w:rsidRDefault="001D3CEB" w:rsidP="001D3CEB">
      <w:pPr>
        <w:pStyle w:val="10"/>
        <w:contextualSpacing w:val="0"/>
      </w:pPr>
      <w:r w:rsidRPr="0054103D">
        <w:t xml:space="preserve">Для участия в программе необходимо </w:t>
      </w:r>
      <w:r w:rsidRPr="0054103D">
        <w:rPr>
          <w:b/>
        </w:rPr>
        <w:t>прислать заявку</w:t>
      </w:r>
      <w:r w:rsidRPr="0054103D">
        <w:t xml:space="preserve"> по адресу: </w:t>
      </w:r>
      <w:hyperlink r:id="rId7" w:history="1">
        <w:r w:rsidR="00A42EB0" w:rsidRPr="00DC67EF">
          <w:rPr>
            <w:rStyle w:val="af0"/>
            <w:lang w:val="en-US"/>
          </w:rPr>
          <w:t>okmo</w:t>
        </w:r>
        <w:r w:rsidR="00A42EB0" w:rsidRPr="00DC67EF">
          <w:rPr>
            <w:rStyle w:val="af0"/>
          </w:rPr>
          <w:t>.</w:t>
        </w:r>
        <w:r w:rsidR="00A42EB0" w:rsidRPr="00DC67EF">
          <w:rPr>
            <w:rStyle w:val="af0"/>
            <w:lang w:val="en-US"/>
          </w:rPr>
          <w:t>rf</w:t>
        </w:r>
        <w:r w:rsidR="00A42EB0" w:rsidRPr="00DC67EF">
          <w:rPr>
            <w:rStyle w:val="af0"/>
          </w:rPr>
          <w:t>@</w:t>
        </w:r>
        <w:r w:rsidR="00A42EB0" w:rsidRPr="00DC67EF">
          <w:rPr>
            <w:rStyle w:val="af0"/>
            <w:lang w:val="en-US"/>
          </w:rPr>
          <w:t>mail</w:t>
        </w:r>
        <w:r w:rsidR="00A42EB0" w:rsidRPr="00DC67EF">
          <w:rPr>
            <w:rStyle w:val="af0"/>
          </w:rPr>
          <w:t>.</w:t>
        </w:r>
        <w:r w:rsidR="00A42EB0" w:rsidRPr="00DC67EF">
          <w:rPr>
            <w:rStyle w:val="af0"/>
            <w:lang w:val="en-US"/>
          </w:rPr>
          <w:t>ru</w:t>
        </w:r>
      </w:hyperlink>
      <w:r w:rsidR="00A42EB0" w:rsidRPr="00A42EB0">
        <w:t xml:space="preserve"> </w:t>
      </w:r>
      <w:r w:rsidRPr="0054103D">
        <w:t xml:space="preserve"> с указанием муниципального образования, списка участников с их должностями и контактными данными.</w:t>
      </w:r>
    </w:p>
    <w:p w:rsidR="001D3CEB" w:rsidRDefault="001D3CEB" w:rsidP="001D3CEB">
      <w:pPr>
        <w:pStyle w:val="10"/>
        <w:contextualSpacing w:val="0"/>
        <w:rPr>
          <w:b/>
        </w:rPr>
      </w:pPr>
    </w:p>
    <w:p w:rsidR="00E920B9" w:rsidRDefault="001D3CEB" w:rsidP="00A42EB0">
      <w:pPr>
        <w:pStyle w:val="10"/>
        <w:contextualSpacing w:val="0"/>
        <w:rPr>
          <w:b/>
        </w:rPr>
      </w:pPr>
      <w:r w:rsidRPr="0054103D">
        <w:rPr>
          <w:b/>
        </w:rPr>
        <w:t>Дополнительную информацию</w:t>
      </w:r>
      <w:r w:rsidRPr="0054103D">
        <w:t xml:space="preserve"> можно получить </w:t>
      </w:r>
      <w:r w:rsidR="00A42EB0">
        <w:t xml:space="preserve">в исполнительной дирекции ОКМО. </w:t>
      </w:r>
      <w:bookmarkStart w:id="0" w:name="_GoBack"/>
      <w:bookmarkEnd w:id="0"/>
    </w:p>
    <w:sectPr w:rsidR="00E920B9" w:rsidSect="00F76549">
      <w:headerReference w:type="default" r:id="rId8"/>
      <w:footerReference w:type="default" r:id="rId9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CB" w:rsidRDefault="00A86CCB" w:rsidP="004F5BDD">
      <w:pPr>
        <w:spacing w:line="240" w:lineRule="auto"/>
      </w:pPr>
      <w:r>
        <w:separator/>
      </w:r>
    </w:p>
  </w:endnote>
  <w:endnote w:type="continuationSeparator" w:id="0">
    <w:p w:rsidR="00A86CCB" w:rsidRDefault="00A86CCB" w:rsidP="004F5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495258"/>
      <w:docPartObj>
        <w:docPartGallery w:val="Page Numbers (Bottom of Page)"/>
        <w:docPartUnique/>
      </w:docPartObj>
    </w:sdtPr>
    <w:sdtEndPr/>
    <w:sdtContent>
      <w:p w:rsidR="00804ABD" w:rsidRDefault="004C6F6E">
        <w:pPr>
          <w:pStyle w:val="aa"/>
          <w:jc w:val="right"/>
        </w:pPr>
        <w:r>
          <w:fldChar w:fldCharType="begin"/>
        </w:r>
        <w:r w:rsidR="005124CC">
          <w:instrText xml:space="preserve"> PAGE   \* MERGEFORMAT </w:instrText>
        </w:r>
        <w:r>
          <w:fldChar w:fldCharType="separate"/>
        </w:r>
        <w:r w:rsidR="00A42EB0">
          <w:rPr>
            <w:noProof/>
          </w:rPr>
          <w:t>6</w:t>
        </w:r>
        <w:r>
          <w:fldChar w:fldCharType="end"/>
        </w:r>
      </w:p>
    </w:sdtContent>
  </w:sdt>
  <w:p w:rsidR="00804ABD" w:rsidRPr="00AF7F06" w:rsidRDefault="005124CC">
    <w:pPr>
      <w:pStyle w:val="aa"/>
      <w:rPr>
        <w:b/>
        <w:color w:val="808080" w:themeColor="background1" w:themeShade="80"/>
      </w:rPr>
    </w:pPr>
    <w:r w:rsidRPr="00AF7F06">
      <w:rPr>
        <w:b/>
        <w:bCs/>
        <w:color w:val="808080" w:themeColor="background1" w:themeShade="80"/>
      </w:rPr>
      <w:t>Комплексная образовательная программа по проектированию социально-экономического развития муниципалитетов 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CB" w:rsidRDefault="00A86CCB" w:rsidP="004F5BDD">
      <w:pPr>
        <w:spacing w:line="240" w:lineRule="auto"/>
      </w:pPr>
      <w:r>
        <w:separator/>
      </w:r>
    </w:p>
  </w:footnote>
  <w:footnote w:type="continuationSeparator" w:id="0">
    <w:p w:rsidR="00A86CCB" w:rsidRDefault="00A86CCB" w:rsidP="004F5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BD" w:rsidRDefault="005124CC">
    <w:pPr>
      <w:pStyle w:val="a8"/>
    </w:pPr>
    <w:r w:rsidRPr="00AF7F06">
      <w:rPr>
        <w:noProof/>
      </w:rPr>
      <w:drawing>
        <wp:inline distT="0" distB="0" distL="0" distR="0">
          <wp:extent cx="1475656" cy="470954"/>
          <wp:effectExtent l="19050" t="0" r="0" b="0"/>
          <wp:docPr id="3" name="Рисунок 1" descr="Фото Общероссийский Конгресс муниципальных образований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Фото Общероссийский Конгресс муниципальных образований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656" cy="47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8F"/>
    <w:multiLevelType w:val="multilevel"/>
    <w:tmpl w:val="CB04E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22BF2"/>
    <w:multiLevelType w:val="multilevel"/>
    <w:tmpl w:val="CB04E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F625C"/>
    <w:multiLevelType w:val="hybridMultilevel"/>
    <w:tmpl w:val="718E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FAA"/>
    <w:multiLevelType w:val="hybridMultilevel"/>
    <w:tmpl w:val="0EEA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5039"/>
    <w:multiLevelType w:val="multilevel"/>
    <w:tmpl w:val="E6B69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F3276F"/>
    <w:multiLevelType w:val="multilevel"/>
    <w:tmpl w:val="30E63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6C76C9"/>
    <w:multiLevelType w:val="hybridMultilevel"/>
    <w:tmpl w:val="AAAC29E0"/>
    <w:lvl w:ilvl="0" w:tplc="EAF2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84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67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82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F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7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C6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86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43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374A9"/>
    <w:multiLevelType w:val="hybridMultilevel"/>
    <w:tmpl w:val="8EEA31D2"/>
    <w:lvl w:ilvl="0" w:tplc="A966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4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E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E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EA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C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A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6C3118"/>
    <w:multiLevelType w:val="hybridMultilevel"/>
    <w:tmpl w:val="21CE58A2"/>
    <w:lvl w:ilvl="0" w:tplc="9E22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E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6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87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1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09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E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86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2E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0751B"/>
    <w:multiLevelType w:val="multilevel"/>
    <w:tmpl w:val="CB52C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270529"/>
    <w:multiLevelType w:val="hybridMultilevel"/>
    <w:tmpl w:val="5336D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A096F"/>
    <w:multiLevelType w:val="hybridMultilevel"/>
    <w:tmpl w:val="21C4D690"/>
    <w:lvl w:ilvl="0" w:tplc="F06A9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83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3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A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8F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0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6C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0C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D1A5B"/>
    <w:multiLevelType w:val="multilevel"/>
    <w:tmpl w:val="8376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4830F1"/>
    <w:multiLevelType w:val="multilevel"/>
    <w:tmpl w:val="8D149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813DBB"/>
    <w:multiLevelType w:val="multilevel"/>
    <w:tmpl w:val="E5D81C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24B"/>
    <w:rsid w:val="0001047A"/>
    <w:rsid w:val="00056726"/>
    <w:rsid w:val="000C37A8"/>
    <w:rsid w:val="000C3D79"/>
    <w:rsid w:val="00102F92"/>
    <w:rsid w:val="00107769"/>
    <w:rsid w:val="001418B6"/>
    <w:rsid w:val="001A04F6"/>
    <w:rsid w:val="001A28B1"/>
    <w:rsid w:val="001D3CEB"/>
    <w:rsid w:val="00255624"/>
    <w:rsid w:val="0025753E"/>
    <w:rsid w:val="002B3B79"/>
    <w:rsid w:val="002B3E57"/>
    <w:rsid w:val="002B41B3"/>
    <w:rsid w:val="002C3D92"/>
    <w:rsid w:val="002D5719"/>
    <w:rsid w:val="00342471"/>
    <w:rsid w:val="0037701D"/>
    <w:rsid w:val="003A53B7"/>
    <w:rsid w:val="003A7C28"/>
    <w:rsid w:val="003C65B7"/>
    <w:rsid w:val="003E6A30"/>
    <w:rsid w:val="003F1048"/>
    <w:rsid w:val="00404E11"/>
    <w:rsid w:val="00421BD3"/>
    <w:rsid w:val="0042487F"/>
    <w:rsid w:val="00435BC7"/>
    <w:rsid w:val="00443546"/>
    <w:rsid w:val="004540A6"/>
    <w:rsid w:val="004716F1"/>
    <w:rsid w:val="00476103"/>
    <w:rsid w:val="00487ACE"/>
    <w:rsid w:val="004B2550"/>
    <w:rsid w:val="004B3947"/>
    <w:rsid w:val="004C6F6E"/>
    <w:rsid w:val="004D73D3"/>
    <w:rsid w:val="004E66B3"/>
    <w:rsid w:val="004F5BDD"/>
    <w:rsid w:val="005124CC"/>
    <w:rsid w:val="0051524B"/>
    <w:rsid w:val="00544D87"/>
    <w:rsid w:val="00546BE3"/>
    <w:rsid w:val="00561C60"/>
    <w:rsid w:val="005638F7"/>
    <w:rsid w:val="00577DCD"/>
    <w:rsid w:val="0059110F"/>
    <w:rsid w:val="00594E57"/>
    <w:rsid w:val="005A3010"/>
    <w:rsid w:val="005B558F"/>
    <w:rsid w:val="005B7D0A"/>
    <w:rsid w:val="005C060C"/>
    <w:rsid w:val="005D270A"/>
    <w:rsid w:val="006034F0"/>
    <w:rsid w:val="00613307"/>
    <w:rsid w:val="006448DD"/>
    <w:rsid w:val="006562A4"/>
    <w:rsid w:val="006736E3"/>
    <w:rsid w:val="00680D31"/>
    <w:rsid w:val="006A1927"/>
    <w:rsid w:val="006B5995"/>
    <w:rsid w:val="006D1E37"/>
    <w:rsid w:val="006E6937"/>
    <w:rsid w:val="007221D2"/>
    <w:rsid w:val="007566A2"/>
    <w:rsid w:val="00785E89"/>
    <w:rsid w:val="007C0917"/>
    <w:rsid w:val="007E4754"/>
    <w:rsid w:val="007E6FA5"/>
    <w:rsid w:val="00804887"/>
    <w:rsid w:val="008118E4"/>
    <w:rsid w:val="00884B30"/>
    <w:rsid w:val="0089254C"/>
    <w:rsid w:val="008A6616"/>
    <w:rsid w:val="008D15ED"/>
    <w:rsid w:val="0092185E"/>
    <w:rsid w:val="0094508A"/>
    <w:rsid w:val="009477E2"/>
    <w:rsid w:val="00991ECA"/>
    <w:rsid w:val="009A2B40"/>
    <w:rsid w:val="009B7517"/>
    <w:rsid w:val="009C2357"/>
    <w:rsid w:val="009F01CC"/>
    <w:rsid w:val="00A12F28"/>
    <w:rsid w:val="00A31E6B"/>
    <w:rsid w:val="00A42EB0"/>
    <w:rsid w:val="00A5176B"/>
    <w:rsid w:val="00A55623"/>
    <w:rsid w:val="00A61423"/>
    <w:rsid w:val="00A80FBC"/>
    <w:rsid w:val="00A86CCB"/>
    <w:rsid w:val="00AB222B"/>
    <w:rsid w:val="00AC4608"/>
    <w:rsid w:val="00AD642B"/>
    <w:rsid w:val="00AF559A"/>
    <w:rsid w:val="00B01E52"/>
    <w:rsid w:val="00B24547"/>
    <w:rsid w:val="00B33549"/>
    <w:rsid w:val="00B34AA4"/>
    <w:rsid w:val="00B40DED"/>
    <w:rsid w:val="00B51EBF"/>
    <w:rsid w:val="00B526FC"/>
    <w:rsid w:val="00B649AE"/>
    <w:rsid w:val="00B7442E"/>
    <w:rsid w:val="00BA4B74"/>
    <w:rsid w:val="00BD50CB"/>
    <w:rsid w:val="00C00229"/>
    <w:rsid w:val="00C032B8"/>
    <w:rsid w:val="00C03FDE"/>
    <w:rsid w:val="00C058A4"/>
    <w:rsid w:val="00C36A9B"/>
    <w:rsid w:val="00C63EDC"/>
    <w:rsid w:val="00C77A0A"/>
    <w:rsid w:val="00C87B73"/>
    <w:rsid w:val="00CB2D53"/>
    <w:rsid w:val="00CE0DD2"/>
    <w:rsid w:val="00CF29BA"/>
    <w:rsid w:val="00CF3223"/>
    <w:rsid w:val="00D033DA"/>
    <w:rsid w:val="00D04173"/>
    <w:rsid w:val="00D13CC0"/>
    <w:rsid w:val="00D336E3"/>
    <w:rsid w:val="00D416D8"/>
    <w:rsid w:val="00D61844"/>
    <w:rsid w:val="00D657B4"/>
    <w:rsid w:val="00D8190D"/>
    <w:rsid w:val="00D87B50"/>
    <w:rsid w:val="00D9366B"/>
    <w:rsid w:val="00DA590F"/>
    <w:rsid w:val="00DA726A"/>
    <w:rsid w:val="00DB4CC0"/>
    <w:rsid w:val="00DC2027"/>
    <w:rsid w:val="00DE688E"/>
    <w:rsid w:val="00E10A19"/>
    <w:rsid w:val="00E24C88"/>
    <w:rsid w:val="00E251A3"/>
    <w:rsid w:val="00E25DA0"/>
    <w:rsid w:val="00E310D1"/>
    <w:rsid w:val="00E91760"/>
    <w:rsid w:val="00E920B9"/>
    <w:rsid w:val="00EA3098"/>
    <w:rsid w:val="00EE3E04"/>
    <w:rsid w:val="00F03434"/>
    <w:rsid w:val="00F67881"/>
    <w:rsid w:val="00F80E68"/>
    <w:rsid w:val="00F949AD"/>
    <w:rsid w:val="00FB1547"/>
    <w:rsid w:val="00FC71E2"/>
    <w:rsid w:val="00FD1BFE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31F9"/>
  <w15:docId w15:val="{9C38E4E0-4FB0-4DEF-98BD-8F74DDA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4B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1">
    <w:name w:val="heading 1"/>
    <w:basedOn w:val="10"/>
    <w:next w:val="10"/>
    <w:link w:val="11"/>
    <w:rsid w:val="005152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5152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5152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5152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5152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5152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1524B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1524B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1524B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524B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524B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1524B"/>
    <w:rPr>
      <w:rFonts w:ascii="Arial" w:eastAsia="Arial" w:hAnsi="Arial" w:cs="Arial"/>
      <w:i/>
      <w:color w:val="666666"/>
      <w:lang w:eastAsia="ru-RU"/>
    </w:rPr>
  </w:style>
  <w:style w:type="paragraph" w:customStyle="1" w:styleId="10">
    <w:name w:val="Обычный1"/>
    <w:rsid w:val="0051524B"/>
    <w:pPr>
      <w:spacing w:after="0"/>
      <w:contextualSpacing/>
    </w:pPr>
    <w:rPr>
      <w:rFonts w:ascii="Arial" w:eastAsia="Arial" w:hAnsi="Arial" w:cs="Arial"/>
      <w:lang w:eastAsia="ru-RU"/>
    </w:rPr>
  </w:style>
  <w:style w:type="table" w:customStyle="1" w:styleId="TableNormal">
    <w:name w:val="Table Normal"/>
    <w:rsid w:val="0051524B"/>
    <w:pPr>
      <w:spacing w:after="0"/>
      <w:contextualSpacing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51524B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51524B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10"/>
    <w:next w:val="10"/>
    <w:link w:val="a6"/>
    <w:rsid w:val="0051524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51524B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51524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52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4B"/>
    <w:rPr>
      <w:rFonts w:ascii="Arial" w:eastAsia="Arial" w:hAnsi="Arial" w:cs="Arial"/>
      <w:lang w:eastAsia="ru-RU"/>
    </w:rPr>
  </w:style>
  <w:style w:type="paragraph" w:styleId="aa">
    <w:name w:val="footer"/>
    <w:basedOn w:val="a"/>
    <w:link w:val="ab"/>
    <w:uiPriority w:val="99"/>
    <w:unhideWhenUsed/>
    <w:rsid w:val="005152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24B"/>
    <w:rPr>
      <w:rFonts w:ascii="Arial" w:eastAsia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5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24B"/>
    <w:rPr>
      <w:rFonts w:ascii="Tahoma" w:eastAsia="Arial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D3CEB"/>
    <w:pPr>
      <w:spacing w:after="0" w:line="240" w:lineRule="auto"/>
      <w:contextualSpacing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920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4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mo.r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Фанакина Марина Николаевна</cp:lastModifiedBy>
  <cp:revision>33</cp:revision>
  <dcterms:created xsi:type="dcterms:W3CDTF">2018-11-29T08:53:00Z</dcterms:created>
  <dcterms:modified xsi:type="dcterms:W3CDTF">2018-12-24T15:57:00Z</dcterms:modified>
</cp:coreProperties>
</file>