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22" w:rsidRPr="00735822" w:rsidRDefault="00735822" w:rsidP="00735822">
      <w:pPr>
        <w:spacing w:before="390" w:after="54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</w:pPr>
      <w:r w:rsidRPr="00735822"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  <w:t>О решениях по итогам муниципального форума «Дни лидеров муниципального управления»</w:t>
      </w:r>
      <w:bookmarkStart w:id="0" w:name="_GoBack"/>
      <w:bookmarkEnd w:id="0"/>
    </w:p>
    <w:p w:rsidR="00735822" w:rsidRPr="00735822" w:rsidRDefault="00735822" w:rsidP="00735822">
      <w:pPr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735822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9 октября 2020</w:t>
      </w:r>
      <w:r w:rsidRPr="00735822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735822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09:00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hyperlink r:id="rId4" w:tgtFrame="_blank" w:history="1">
        <w:r w:rsidRPr="00735822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Форум</w:t>
        </w:r>
      </w:hyperlink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состоялся 23 сентября 2020 года в Великом Новгороде. По итогам приняты следующие решения и даны поручения: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1.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Исполнительным органам государственной власти субъектов Российской Федерации 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рекомендовать: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Минздравом России при формировании региональных программ модернизации первичного звена здравоохранения предусмотреть мероприятия по оснащению и переоснащению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отдалённых районов, предусмотрев в дальнейшем закрепление данного автотранспорта за медицинским работником, оказывающим первичную медико-санитарную помощь жителям сельской местности, посёлков городского типа и отдалённых районов.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15 декабря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Установить дифференцированные нормативы отчислений в местные бюджеты от налога, взимаемого в связи с применением упрощённой системы налогообложения, с учётом индивидуальных особенностей муниципальных образований, характеризующих деятельность субъектов малого и среднего предпринимательства.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июля 2021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2.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Минтруду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А.О.Котякову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 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учесть в разрабатываемых для субъектов Российской Федерации методических рекомендациях по снижению бедности положительный опыт Новгородской области в социальном сопровождении семей с детьми и представить доклад в Правительство Российской Федерации.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декабря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3. 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Минсельхозу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Д.Н.Патрушеву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Минфину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Минтрансу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Е.И.Дитриху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Росавтодору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А.А.Костюку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проработать вопрос об увеличении финансирования из федерального бюджета мероприятий по строительству (реконструкции), капитальному ремонту и ремонту автомобильных дорог общего пользования, ведущих от сети автомобильных дорог общего пользования к объектам, расположенным (планируемым к созданию) в сельских 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населённых пунктах, в рамках государственной программы Российской Федерации «Комплексное развитие сельских территорий» и представить в Правительство Российской Федерации согласованные предложения.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28 октября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4. 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Минфину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А.Г.Силуанову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),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Минтрансу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Е.И.Дитриху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Росавтодору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А.А.Костюку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рассмотреть возможность внесения изменений в пункт 3.1 статьи 58 Бюджетного кодекса Российской Федерации в части установки дифференцированных нормативов отчислений органами государственной власти субъектов Российской Федерации в местные бюджеты от акцизов на нефтепродукты, исходя из зачисления в местные бюджеты не менее 20% налоговых доходов консолидированного бюджета субъекта Российской Федерации от указанного налога.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30 декабря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5. 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Минсельхозу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Д.Н.Патрушеву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 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заинтересованными федеральными органами исполнительной власти и органами государственной власти субъектов Российской Федерации продолжить работу по оказанию государственной поддержки на цели реализации проектов комплексного развития сельских территорий, в составе которых предусматривается реализация мероприятий по созданию, строительству, реконструкции (модернизации), капитальному ремонту государственных или муниципальных организаций культурно-досугового типа, в том числе сельских домов культуры, а также многофункциональных объектов, предназначенных для предоставления соответствующих услуг населению (в том числе маломобильному) в рамках государственной программы Российской Федерации «Комплексное развитие сельских территорий».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 результатах доложить в Правительство Российской Федерации, по вопросам, требующим решения Правительства Российской Федерации, – с проектом соответствующего нормативного правового акта Правительства Российской Федерации.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28 октября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6. 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Минстрою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В.В.Якушеву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 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обеспечить возможность автоматизированного подбора подходящей проектной документации повторного использования, в том числе по климатическим, сейсмическим и иным характеристикам, в реестре экономически эффективной проектной документации повторного использования, а также синхронизацию указанного реестра и единого государственного реестра заключений экспертизы проектной документации.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февраля 2021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7. 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Минтрансу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Е.И.Дитриху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),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Минфину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рассмотреть вопрос о внесении изменений в национальный проект «Безопасные и качественные автомобильные дороги» в части расширения его реализации до 2030 года и включения в федеральный проект «Дорожная сеть» мероприятий в агломерациях с населением от 100 до 200 тысяч человек, а также представить предложения по объёму и источникам финансирования данных 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мероприятий, в том числе проработать возможность установления коэффициента объёмов дохода от акцизов на горюче-смазочные материалы, подлежащего зачислению в Федеральный дорожный фонд в соответствии с пунктом 2 статьи 179.4 Бюджетного кодекса Российской Федерации.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30 октября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8. 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Минстрою России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В.В.Якушеву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),</w:t>
      </w: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Минюсту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К.А.Чуйченко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М.Г.Решетникову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в целях обеспечения выполнения программ по расселению аварийного жилья и жилья с высокой степенью износа обеспечить подготовку проекта официального отзыва Правительства Российской Федерации на проект федерального закона №1023225-7 «О внесении изменений в Градостроительный кодекс Российской Федерации и отдельные законодательные акты Российской Федерации» (о совершенствовании института комплексного развития территорий и механизмов расселения аварийного и ветхого жилья), внесённого в Государственную Думу членами Совета Федерации 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Н.А.Журавлёвым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, 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О.В.Мельниченко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, 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А.А.Шевченко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, депутатом Государственной Думы 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Е.С.Москвичевым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и его представление в установленном порядке в Правительство Российской Федерации.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9 октября 2020 года.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9.</w:t>
      </w:r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Ростуризму (</w:t>
      </w:r>
      <w:proofErr w:type="spellStart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З.В.Догузовой</w:t>
      </w:r>
      <w:proofErr w:type="spellEnd"/>
      <w:r w:rsidRPr="00735822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), 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Минпромторгу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Д.В.Мантурову</w:t>
      </w:r>
      <w:proofErr w:type="spellEnd"/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органами исполнительной власти субъектов Российской Федерации проработать комплекс мер по развитию туризма в местах традиционного бытования народных художественных промыслов и предусмотреть мероприятия по их реализации, в том числе в национальном проекте «Туризм и индустрия гостеприимства».</w:t>
      </w:r>
    </w:p>
    <w:p w:rsidR="00735822" w:rsidRPr="00735822" w:rsidRDefault="00735822" w:rsidP="00735822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35822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сентября 2021 года.</w:t>
      </w:r>
    </w:p>
    <w:p w:rsidR="00F001D1" w:rsidRDefault="00F001D1" w:rsidP="00735822">
      <w:pPr>
        <w:jc w:val="both"/>
      </w:pPr>
    </w:p>
    <w:sectPr w:rsidR="00F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E"/>
    <w:rsid w:val="00174C1E"/>
    <w:rsid w:val="00735822"/>
    <w:rsid w:val="00EB0F87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750C-78B2-4CCF-B7CA-8E5F34CE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15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40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2020-10-19T04:21:00Z</dcterms:created>
  <dcterms:modified xsi:type="dcterms:W3CDTF">2020-10-19T04:21:00Z</dcterms:modified>
</cp:coreProperties>
</file>