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534"/>
      </w:tblGrid>
      <w:tr w:rsidR="00756BEC" w14:paraId="3C108AD1" w14:textId="77777777" w:rsidTr="00756BEC">
        <w:tc>
          <w:tcPr>
            <w:tcW w:w="2830" w:type="dxa"/>
          </w:tcPr>
          <w:p w14:paraId="5B7CFB43" w14:textId="266283D9" w:rsidR="00756BEC" w:rsidRDefault="00756BEC">
            <w:r>
              <w:rPr>
                <w:noProof/>
              </w:rPr>
              <w:drawing>
                <wp:inline distT="0" distB="0" distL="0" distR="0" wp14:anchorId="15446A88" wp14:editId="38472992">
                  <wp:extent cx="1507216" cy="2078846"/>
                  <wp:effectExtent l="19050" t="19050" r="17145" b="171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24" cy="20940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14:paraId="2F0B18DC" w14:textId="77777777" w:rsidR="00E67D1F" w:rsidRDefault="00E67D1F" w:rsidP="00756B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4C03079" w14:textId="238315BC" w:rsidR="00756BEC" w:rsidRDefault="001F1017" w:rsidP="00756B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ДОКЛАД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756B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 организации и деятельности муниципальных общественных палат (советов) в Российской Федерации </w:t>
            </w:r>
            <w:r w:rsidR="00756B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756B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/под ред. </w:t>
            </w:r>
            <w:proofErr w:type="gramStart"/>
            <w:r w:rsidR="00756B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А.Н.</w:t>
            </w:r>
            <w:proofErr w:type="gramEnd"/>
            <w:r w:rsidR="00756B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Максимова, Е.С. Шугриной. М., 2022</w:t>
            </w:r>
            <w:r w:rsidR="00756B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756B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r w:rsidR="00756B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159</w:t>
            </w:r>
            <w:r w:rsidR="00756B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с.</w:t>
            </w:r>
          </w:p>
        </w:tc>
      </w:tr>
    </w:tbl>
    <w:p w14:paraId="00BB7629" w14:textId="039F3089" w:rsidR="004D4634" w:rsidRDefault="004D4634"/>
    <w:p w14:paraId="0D15A6D4" w14:textId="12ADC931" w:rsidR="003C062A" w:rsidRDefault="003C062A"/>
    <w:p w14:paraId="4BEFC422" w14:textId="7E816302" w:rsidR="00756BEC" w:rsidRPr="00E67D1F" w:rsidRDefault="00756BEC" w:rsidP="003C06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эгидой Федеральной палаты РФ, Совета муниципальных образований Ульяновской области </w:t>
      </w:r>
      <w:r w:rsidR="00FD71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публикован </w:t>
      </w:r>
      <w:r w:rsidR="003C062A"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в России комплексный Доклад о работе муниципальных общественных палат (советов)</w:t>
      </w: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062A"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подготовленный на основе информации, содержащейся в открытом доступе, а также полученной от общественных палат субъектов РФ и муниципальных образований, советов муниципальных образований субъектов РФ</w:t>
      </w:r>
      <w:r w:rsidR="00FD71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062A"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 исполнительной власти субъектов РФ. </w:t>
      </w:r>
    </w:p>
    <w:p w14:paraId="10024E37" w14:textId="20C22AB0" w:rsidR="00756BEC" w:rsidRPr="00E67D1F" w:rsidRDefault="00756BEC" w:rsidP="00756B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Авторами доклада являются члены Общественной палаты РФ, федеральные эксперты, представители Советов муниципальных образований и Общественных палат субъектов РФ</w:t>
      </w: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</w:t>
      </w:r>
      <w:r w:rsidRPr="00E67D1F">
        <w:rPr>
          <w:rFonts w:ascii="Times New Roman" w:hAnsi="Times New Roman" w:cs="Times New Roman"/>
          <w:sz w:val="24"/>
          <w:szCs w:val="24"/>
        </w:rPr>
        <w:t>Республик</w:t>
      </w:r>
      <w:r w:rsidRPr="00E67D1F">
        <w:rPr>
          <w:rFonts w:ascii="Times New Roman" w:hAnsi="Times New Roman" w:cs="Times New Roman"/>
          <w:sz w:val="24"/>
          <w:szCs w:val="24"/>
        </w:rPr>
        <w:t>е</w:t>
      </w:r>
      <w:r w:rsidRPr="00E67D1F">
        <w:rPr>
          <w:rFonts w:ascii="Times New Roman" w:hAnsi="Times New Roman" w:cs="Times New Roman"/>
          <w:sz w:val="24"/>
          <w:szCs w:val="24"/>
        </w:rPr>
        <w:t xml:space="preserve"> Коми, </w:t>
      </w:r>
      <w:r w:rsidRPr="00E67D1F">
        <w:rPr>
          <w:rFonts w:ascii="Times New Roman" w:hAnsi="Times New Roman" w:cs="Times New Roman"/>
          <w:color w:val="000000"/>
          <w:sz w:val="24"/>
          <w:szCs w:val="24"/>
        </w:rPr>
        <w:t>Хабаровск</w:t>
      </w:r>
      <w:r w:rsidRPr="00E67D1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E67D1F">
        <w:rPr>
          <w:rFonts w:ascii="Times New Roman" w:hAnsi="Times New Roman" w:cs="Times New Roman"/>
          <w:color w:val="000000"/>
          <w:sz w:val="24"/>
          <w:szCs w:val="24"/>
        </w:rPr>
        <w:t xml:space="preserve"> кра</w:t>
      </w:r>
      <w:r w:rsidRPr="00E67D1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67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7D1F">
        <w:rPr>
          <w:rFonts w:ascii="Times New Roman" w:hAnsi="Times New Roman" w:cs="Times New Roman"/>
          <w:color w:val="333333"/>
          <w:sz w:val="24"/>
          <w:szCs w:val="24"/>
        </w:rPr>
        <w:t>Вологодск</w:t>
      </w:r>
      <w:r w:rsidRPr="00E67D1F"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E67D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E67D1F">
        <w:rPr>
          <w:rFonts w:ascii="Times New Roman" w:hAnsi="Times New Roman" w:cs="Times New Roman"/>
          <w:color w:val="000000"/>
          <w:sz w:val="24"/>
          <w:szCs w:val="24"/>
        </w:rPr>
        <w:t>Кемеровск</w:t>
      </w:r>
      <w:r w:rsidRPr="00E67D1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67D1F">
        <w:rPr>
          <w:rFonts w:ascii="Times New Roman" w:hAnsi="Times New Roman" w:cs="Times New Roman"/>
          <w:color w:val="000000"/>
          <w:sz w:val="24"/>
          <w:szCs w:val="24"/>
        </w:rPr>
        <w:t>, Ростовск</w:t>
      </w:r>
      <w:r w:rsidRPr="00E67D1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67D1F">
        <w:rPr>
          <w:rFonts w:ascii="Times New Roman" w:hAnsi="Times New Roman" w:cs="Times New Roman"/>
          <w:color w:val="000000"/>
          <w:sz w:val="24"/>
          <w:szCs w:val="24"/>
        </w:rPr>
        <w:t>, Саратовск</w:t>
      </w:r>
      <w:r w:rsidRPr="00E67D1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67D1F">
        <w:rPr>
          <w:rFonts w:ascii="Times New Roman" w:hAnsi="Times New Roman" w:cs="Times New Roman"/>
          <w:color w:val="000000"/>
          <w:sz w:val="24"/>
          <w:szCs w:val="24"/>
        </w:rPr>
        <w:t>, Томск</w:t>
      </w:r>
      <w:r w:rsidRPr="00E67D1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67D1F">
        <w:rPr>
          <w:rFonts w:ascii="Times New Roman" w:hAnsi="Times New Roman" w:cs="Times New Roman"/>
          <w:color w:val="000000"/>
          <w:sz w:val="24"/>
          <w:szCs w:val="24"/>
        </w:rPr>
        <w:t>, Ульяновск</w:t>
      </w:r>
      <w:r w:rsidR="00E67D1F" w:rsidRPr="00E67D1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67D1F">
        <w:rPr>
          <w:rFonts w:ascii="Times New Roman" w:hAnsi="Times New Roman" w:cs="Times New Roman"/>
          <w:color w:val="000000"/>
          <w:sz w:val="24"/>
          <w:szCs w:val="24"/>
        </w:rPr>
        <w:t xml:space="preserve"> област</w:t>
      </w:r>
      <w:r w:rsidR="00E67D1F" w:rsidRPr="00E67D1F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E67D1F">
        <w:rPr>
          <w:rFonts w:ascii="Times New Roman" w:hAnsi="Times New Roman" w:cs="Times New Roman"/>
          <w:sz w:val="24"/>
          <w:szCs w:val="24"/>
        </w:rPr>
        <w:t>.</w:t>
      </w:r>
    </w:p>
    <w:p w14:paraId="3B07BD69" w14:textId="020D9746" w:rsidR="00E67D1F" w:rsidRPr="00E67D1F" w:rsidRDefault="00E67D1F" w:rsidP="00756B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D1F">
        <w:rPr>
          <w:rFonts w:ascii="Times New Roman" w:hAnsi="Times New Roman" w:cs="Times New Roman"/>
          <w:sz w:val="24"/>
          <w:szCs w:val="24"/>
        </w:rPr>
        <w:t>Приводится анализ федерального и регионального законодательства, муниципальных правовых актов, регулирующих особенности организации и деятельности муниципальных общественных палат (советов), сформулированы предложения по его совершенствованию.</w:t>
      </w:r>
    </w:p>
    <w:p w14:paraId="5BB94FDE" w14:textId="3E2CD6C8" w:rsidR="003C062A" w:rsidRPr="00E67D1F" w:rsidRDefault="00E67D1F" w:rsidP="003C06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Докладе в </w:t>
      </w: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разрезе по федеральным округам </w:t>
      </w: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C062A"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редставлены сведения о правовых основах деятельности муниципальных общественных палат (советов), приводятся примеры успешных практик их деятельности</w:t>
      </w: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сведения о победителях конкурсов </w:t>
      </w: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общественных палат (советов)</w:t>
      </w: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проводимых в </w:t>
      </w:r>
      <w:proofErr w:type="gramStart"/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>2018-2020</w:t>
      </w:r>
      <w:proofErr w:type="gramEnd"/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</w:t>
      </w:r>
    </w:p>
    <w:p w14:paraId="3646A676" w14:textId="428538C4" w:rsidR="00E67D1F" w:rsidRPr="00E67D1F" w:rsidRDefault="00E67D1F" w:rsidP="00E67D1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Отдельное внимание в Докладе уделено некоторым видам общественного контроля, в том числе </w:t>
      </w: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дорожного строительства</w:t>
      </w: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ЖКХ</w:t>
      </w:r>
      <w:r w:rsidR="001F10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инициативного бюджетирования</w:t>
      </w:r>
      <w:r w:rsidR="00FD71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39D35C" w14:textId="77777777" w:rsidR="003C062A" w:rsidRPr="00E67D1F" w:rsidRDefault="003C062A" w:rsidP="003C06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D1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членов общественных палат (советов) и экспертов, представителей органов местного самоуправления. Представляет интерес и может быть полезен магистрантам, аспирантам, преподавателям и ученым.</w:t>
      </w:r>
    </w:p>
    <w:p w14:paraId="300C1CCA" w14:textId="6E3691CD" w:rsidR="003C062A" w:rsidRPr="00E67D1F" w:rsidRDefault="003C062A" w:rsidP="00E67D1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844C0D" w14:textId="3BAD052E" w:rsidR="00E67D1F" w:rsidRPr="00FD7120" w:rsidRDefault="00E67D1F" w:rsidP="00E67D1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7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Презентация Доклада состоится 28 октября 2022 года в Ульяновске в 10 часов (время местное, разница с Москвой – 1 час). Организована трансляция на </w:t>
      </w:r>
      <w:proofErr w:type="spellStart"/>
      <w:r w:rsidRPr="00FD7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ютюб</w:t>
      </w:r>
      <w:proofErr w:type="spellEnd"/>
      <w:r w:rsidRPr="00FD7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канале СМО Ульяновской области</w:t>
      </w:r>
      <w:r w:rsidR="00FD7120" w:rsidRPr="00FD7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D7120" w:rsidRPr="00FD7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https://youtube.com/c/СоветмуниципальныхобразованийУльяновскойобласти</w:t>
      </w:r>
      <w:r w:rsidR="00FD7120" w:rsidRPr="00FD7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sectPr w:rsidR="00E67D1F" w:rsidRPr="00FD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2A"/>
    <w:rsid w:val="001F1017"/>
    <w:rsid w:val="003C062A"/>
    <w:rsid w:val="004D4634"/>
    <w:rsid w:val="00756BEC"/>
    <w:rsid w:val="00E67D1F"/>
    <w:rsid w:val="00F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434"/>
  <w15:chartTrackingRefBased/>
  <w15:docId w15:val="{28071E26-8171-4890-A613-FB3C5648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62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Katerina</dc:creator>
  <cp:keywords/>
  <dc:description/>
  <cp:lastModifiedBy>Katerina Katerina</cp:lastModifiedBy>
  <cp:revision>3</cp:revision>
  <dcterms:created xsi:type="dcterms:W3CDTF">2022-10-27T15:50:00Z</dcterms:created>
  <dcterms:modified xsi:type="dcterms:W3CDTF">2022-10-27T16:12:00Z</dcterms:modified>
</cp:coreProperties>
</file>