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39" w:rsidRDefault="00031F39" w:rsidP="002410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Фонд «Институт экономики города»</w:t>
      </w:r>
    </w:p>
    <w:p w:rsidR="00031F39" w:rsidRDefault="00031F39" w:rsidP="002410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10EF" w:rsidRPr="002410EF" w:rsidRDefault="002410EF" w:rsidP="002410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10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Анализ соответствия существующих городских округов критериям отнесения муниципальных образований к городским о</w:t>
      </w:r>
      <w:r w:rsidR="007E1A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кругам, </w:t>
      </w:r>
      <w:r w:rsidR="00031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предлагаемым</w:t>
      </w:r>
      <w:r w:rsidR="007E1A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проекте ф</w:t>
      </w:r>
      <w:r w:rsidRPr="002410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едерального закона № 40361-8 «Об общих принципах организации местного самоуправления в единой системе публичной власти»</w:t>
      </w:r>
    </w:p>
    <w:p w:rsidR="002410EF" w:rsidRDefault="002410EF" w:rsidP="00F77B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6370" w:rsidRPr="00F77B23" w:rsidRDefault="00D637FD" w:rsidP="00F77B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 на рассмотрении Государственной Думы находится п</w:t>
      </w:r>
      <w:r w:rsidR="007E1A6B">
        <w:rPr>
          <w:rFonts w:ascii="Times New Roman" w:eastAsia="Calibri" w:hAnsi="Times New Roman" w:cs="Times New Roman"/>
          <w:sz w:val="28"/>
          <w:szCs w:val="28"/>
          <w:lang w:eastAsia="ru-RU"/>
        </w:rPr>
        <w:t>роект ф</w:t>
      </w:r>
      <w:r w:rsidR="006309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едерального закона </w:t>
      </w:r>
      <w:r w:rsidRPr="00D637F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D6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40361-8 </w:t>
      </w:r>
      <w:r w:rsidR="006309B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309BB" w:rsidRPr="006309BB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</w:t>
      </w:r>
      <w:r w:rsidR="006309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9BB" w:rsidRPr="006309BB">
        <w:rPr>
          <w:rFonts w:ascii="Times New Roman" w:eastAsia="Calibri" w:hAnsi="Times New Roman" w:cs="Times New Roman"/>
          <w:sz w:val="28"/>
          <w:szCs w:val="28"/>
          <w:lang w:eastAsia="ru-RU"/>
        </w:rPr>
        <w:t>в единой системе публичной власти</w:t>
      </w:r>
      <w:r w:rsidR="006309B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893C69">
        <w:rPr>
          <w:rStyle w:val="a5"/>
          <w:rFonts w:ascii="Times New Roman" w:eastAsia="Calibri" w:hAnsi="Times New Roman" w:cs="Times New Roman"/>
          <w:sz w:val="28"/>
          <w:szCs w:val="28"/>
          <w:lang w:eastAsia="ru-RU"/>
        </w:rPr>
        <w:footnoteReference w:id="1"/>
      </w:r>
      <w:r w:rsidR="006309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496370">
        <w:rPr>
          <w:rFonts w:ascii="Times New Roman" w:eastAsia="Calibri" w:hAnsi="Times New Roman" w:cs="Times New Roman"/>
          <w:sz w:val="28"/>
          <w:szCs w:val="28"/>
          <w:lang w:eastAsia="ru-RU"/>
        </w:rPr>
        <w:t>далее –</w:t>
      </w:r>
      <w:r w:rsidR="006309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Законопроект)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309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Законопроект призван заменить действующий Федеральный закон от 6 октября 2003 года № 131-ФЗ «</w:t>
      </w:r>
      <w:r w:rsidR="006309BB" w:rsidRPr="006309BB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</w:t>
      </w:r>
      <w:r w:rsidR="006309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9BB" w:rsidRPr="006309BB">
        <w:rPr>
          <w:rFonts w:ascii="Times New Roman" w:eastAsia="Calibri" w:hAnsi="Times New Roman" w:cs="Times New Roman"/>
          <w:sz w:val="28"/>
          <w:szCs w:val="28"/>
          <w:lang w:eastAsia="ru-RU"/>
        </w:rPr>
        <w:t>местного самоуправления в Российской Федерации</w:t>
      </w:r>
      <w:r w:rsidR="006309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– Закон № 131-ФЗ). </w:t>
      </w:r>
      <w:r w:rsidR="002410EF" w:rsidRPr="002410E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F0FC6" w:rsidRPr="002410E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410EF" w:rsidRPr="00241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января</w:t>
      </w:r>
      <w:r w:rsidR="00E83228" w:rsidRPr="00241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</w:t>
      </w:r>
      <w:r w:rsidR="00E83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9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Законопроект прошел </w:t>
      </w:r>
      <w:r w:rsidR="00E83228">
        <w:rPr>
          <w:rFonts w:ascii="Times New Roman" w:eastAsia="Calibri" w:hAnsi="Times New Roman" w:cs="Times New Roman"/>
          <w:sz w:val="28"/>
          <w:szCs w:val="28"/>
          <w:lang w:eastAsia="ru-RU"/>
        </w:rPr>
        <w:t>первое</w:t>
      </w:r>
      <w:r w:rsidR="006309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чтени</w:t>
      </w:r>
      <w:r w:rsidR="00E8322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309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Государственной Думе, но </w:t>
      </w:r>
      <w:r w:rsidR="00031F39">
        <w:rPr>
          <w:rFonts w:ascii="Times New Roman" w:eastAsia="Calibri" w:hAnsi="Times New Roman" w:cs="Times New Roman"/>
          <w:sz w:val="28"/>
          <w:szCs w:val="28"/>
          <w:lang w:eastAsia="ru-RU"/>
        </w:rPr>
        <w:t>до сих пор в отношении Законопроекта</w:t>
      </w:r>
      <w:r w:rsidR="00442855" w:rsidRPr="00442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9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продолжается довольно острая дискуссия с участием ведущих экспертов в сфере местного самоуправления и муниципального управления. </w:t>
      </w:r>
      <w:r w:rsidR="00EF2684">
        <w:rPr>
          <w:rFonts w:ascii="Times New Roman" w:eastAsia="Calibri" w:hAnsi="Times New Roman" w:cs="Times New Roman"/>
          <w:sz w:val="28"/>
          <w:szCs w:val="28"/>
          <w:lang w:eastAsia="ru-RU"/>
        </w:rPr>
        <w:t>Наряду с положительными сторонами</w:t>
      </w:r>
      <w:r w:rsidR="00031F3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F2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</w:t>
      </w:r>
      <w:r w:rsidR="00E83228">
        <w:rPr>
          <w:rFonts w:ascii="Times New Roman" w:eastAsia="Calibri" w:hAnsi="Times New Roman" w:cs="Times New Roman"/>
          <w:sz w:val="28"/>
          <w:szCs w:val="28"/>
          <w:lang w:eastAsia="ru-RU"/>
        </w:rPr>
        <w:t>ксперты отмечают ряд спорных положений Законопроекта, влекущих потенциальные риски для местного самоуправления в стране</w:t>
      </w:r>
      <w:r>
        <w:rPr>
          <w:rStyle w:val="a5"/>
          <w:rFonts w:ascii="Times New Roman" w:eastAsia="Calibri" w:hAnsi="Times New Roman" w:cs="Times New Roman"/>
          <w:sz w:val="28"/>
          <w:szCs w:val="28"/>
          <w:lang w:eastAsia="ru-RU"/>
        </w:rPr>
        <w:footnoteReference w:id="2"/>
      </w:r>
      <w:r w:rsidR="00E83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C1206" w:rsidRDefault="00E83228" w:rsidP="00BA77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Настоящая аналитическая записка посвящена одному из таких </w:t>
      </w:r>
      <w:r w:rsidR="00C72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положений, а именно</w:t>
      </w:r>
      <w:r w:rsidR="00C7293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установлению критериев </w:t>
      </w:r>
      <w:r w:rsidR="00A86271">
        <w:rPr>
          <w:rFonts w:ascii="Times New Roman" w:eastAsia="Calibri" w:hAnsi="Times New Roman" w:cs="Times New Roman"/>
          <w:sz w:val="28"/>
          <w:szCs w:val="28"/>
          <w:lang w:eastAsia="ru-RU"/>
        </w:rPr>
        <w:t>для присвоения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</w:t>
      </w:r>
      <w:r w:rsidR="00A86271">
        <w:rPr>
          <w:rFonts w:ascii="Times New Roman" w:eastAsia="Calibri" w:hAnsi="Times New Roman" w:cs="Times New Roman"/>
          <w:sz w:val="28"/>
          <w:szCs w:val="28"/>
          <w:lang w:eastAsia="ru-RU"/>
        </w:rPr>
        <w:t>ому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</w:t>
      </w:r>
      <w:r w:rsidR="00A86271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86271">
        <w:rPr>
          <w:rFonts w:ascii="Times New Roman" w:eastAsia="Calibri" w:hAnsi="Times New Roman" w:cs="Times New Roman"/>
          <w:sz w:val="28"/>
          <w:szCs w:val="28"/>
          <w:lang w:eastAsia="ru-RU"/>
        </w:rPr>
        <w:t>статуса городского 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637FD" w:rsidRDefault="00D637FD" w:rsidP="00D637F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410EF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отнесения муниципальных образований к городским округам (присвоения им соответствующего статуса) содержатся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определении данного вида муниципальных образований, приведенном в </w:t>
      </w:r>
      <w:r w:rsidR="00DF0FC6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C7293C">
        <w:rPr>
          <w:rFonts w:ascii="Times New Roman" w:eastAsia="Calibri" w:hAnsi="Times New Roman" w:cs="Times New Roman"/>
          <w:sz w:val="28"/>
          <w:szCs w:val="28"/>
          <w:lang w:eastAsia="ru-RU"/>
        </w:rPr>
        <w:t>ункте</w:t>
      </w:r>
      <w:r w:rsidR="00303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0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DF0FC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 Законопроекта, а именно:</w:t>
      </w:r>
    </w:p>
    <w:p w:rsidR="00D637FD" w:rsidRPr="00C7293C" w:rsidRDefault="00D637FD" w:rsidP="00C7293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7293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«</w:t>
      </w:r>
      <w:r w:rsidRPr="003E7E69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Городским округом является муниципальное образование, в состав территории которого входят один или несколько городов и (или) иных городских населенных пунктов, не 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населенных пунктов, не являющихся муниципальными образованиями, и территории, предназначенные для развития социальной, транспортной и иной инфраструктуры городского округа, размер которых не может превышать в два и более раза площадь территорий городов и (или) иных городских населенных пунктов, входящих в состав городского округа. На территории городского округа плотность населения должна в пять и более раз превышать среднюю плотность населения в Российской Федерации</w:t>
      </w:r>
      <w:r w:rsidRPr="00C7293C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:rsidR="00C66642" w:rsidRDefault="00C66642" w:rsidP="00C666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Опираясь на это определение, можно заключить, что для присвоения муниципальному образованию статуса городского округа требуется выполнение следующих условий:</w:t>
      </w:r>
    </w:p>
    <w:p w:rsidR="00C66642" w:rsidRDefault="00274F5E" w:rsidP="00C6664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C66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территории муниципального образования имеется один или несколько </w:t>
      </w:r>
      <w:r w:rsidR="003E7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городов, </w:t>
      </w:r>
      <w:r w:rsidR="00C66642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городских населенных пунктов</w:t>
      </w:r>
      <w:r w:rsidR="00C66642">
        <w:rPr>
          <w:rStyle w:val="a5"/>
          <w:rFonts w:ascii="Times New Roman" w:eastAsia="Calibri" w:hAnsi="Times New Roman" w:cs="Times New Roman"/>
          <w:sz w:val="28"/>
          <w:szCs w:val="28"/>
          <w:lang w:eastAsia="ru-RU"/>
        </w:rPr>
        <w:footnoteReference w:id="3"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66642" w:rsidRPr="00492972" w:rsidRDefault="00274F5E" w:rsidP="00C6664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C66642">
        <w:rPr>
          <w:rFonts w:ascii="Times New Roman" w:eastAsia="Calibri" w:hAnsi="Times New Roman" w:cs="Times New Roman"/>
          <w:sz w:val="28"/>
          <w:szCs w:val="28"/>
          <w:lang w:eastAsia="ru-RU"/>
        </w:rPr>
        <w:t>а территории городских населенных пунктов</w:t>
      </w:r>
      <w:r w:rsidR="00C66642" w:rsidRPr="006246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6642">
        <w:rPr>
          <w:rFonts w:ascii="Times New Roman" w:eastAsia="Calibri" w:hAnsi="Times New Roman" w:cs="Times New Roman"/>
          <w:sz w:val="28"/>
          <w:szCs w:val="28"/>
          <w:lang w:eastAsia="ru-RU"/>
        </w:rPr>
        <w:t>проживает не менее 2/3 всего населения муниципального образования</w:t>
      </w:r>
      <w:r w:rsidR="00972A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66642" w:rsidRPr="00DC1206" w:rsidRDefault="00972A86" w:rsidP="00C6664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C66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ерритории, не относящиеся к городским населенным пунктам, составляют не более 2/3 </w:t>
      </w:r>
      <w:r w:rsidR="00C66642">
        <w:rPr>
          <w:rFonts w:ascii="Times New Roman" w:eastAsia="Calibri" w:hAnsi="Times New Roman" w:cs="Times New Roman"/>
          <w:sz w:val="28"/>
          <w:szCs w:val="24"/>
          <w:lang w:eastAsia="ru-RU"/>
        </w:rPr>
        <w:t>от общей площади</w:t>
      </w:r>
      <w:r w:rsidR="00C66642" w:rsidRPr="00DC120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C66642">
        <w:rPr>
          <w:rFonts w:ascii="Times New Roman" w:eastAsia="Calibri" w:hAnsi="Times New Roman" w:cs="Times New Roman"/>
          <w:sz w:val="28"/>
          <w:szCs w:val="24"/>
          <w:lang w:eastAsia="ru-RU"/>
        </w:rPr>
        <w:t>муниципального образования</w:t>
      </w:r>
      <w:r w:rsidR="00C66642">
        <w:rPr>
          <w:rStyle w:val="a5"/>
          <w:rFonts w:ascii="Times New Roman" w:eastAsia="Calibri" w:hAnsi="Times New Roman" w:cs="Times New Roman"/>
          <w:sz w:val="28"/>
          <w:szCs w:val="28"/>
          <w:lang w:eastAsia="ru-RU"/>
        </w:rPr>
        <w:footnoteReference w:id="4"/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C66642" w:rsidRPr="00DC1206" w:rsidRDefault="00FE3C74" w:rsidP="00C6664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</w:t>
      </w:r>
      <w:r w:rsidR="00C66642" w:rsidRPr="00DC120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лотность населения </w:t>
      </w:r>
      <w:r w:rsidR="00C66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66642">
        <w:rPr>
          <w:rFonts w:ascii="Times New Roman" w:eastAsia="Calibri" w:hAnsi="Times New Roman" w:cs="Times New Roman"/>
          <w:sz w:val="28"/>
          <w:szCs w:val="24"/>
          <w:lang w:eastAsia="ru-RU"/>
        </w:rPr>
        <w:t>не менее чем в 5 раз превышает</w:t>
      </w:r>
      <w:r w:rsidR="00C66642" w:rsidRPr="00DC120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средн</w:t>
      </w:r>
      <w:r w:rsidR="00C66642">
        <w:rPr>
          <w:rFonts w:ascii="Times New Roman" w:eastAsia="Calibri" w:hAnsi="Times New Roman" w:cs="Times New Roman"/>
          <w:sz w:val="28"/>
          <w:szCs w:val="24"/>
          <w:lang w:eastAsia="ru-RU"/>
        </w:rPr>
        <w:t>юю</w:t>
      </w:r>
      <w:r w:rsidR="00C66642" w:rsidRPr="00DC120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плотност</w:t>
      </w:r>
      <w:r w:rsidR="00C66642">
        <w:rPr>
          <w:rFonts w:ascii="Times New Roman" w:eastAsia="Calibri" w:hAnsi="Times New Roman" w:cs="Times New Roman"/>
          <w:sz w:val="28"/>
          <w:szCs w:val="24"/>
          <w:lang w:eastAsia="ru-RU"/>
        </w:rPr>
        <w:t>ь</w:t>
      </w:r>
      <w:r w:rsidR="00C66642" w:rsidRPr="00DC120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</w:t>
      </w:r>
      <w:r w:rsidR="00C66642">
        <w:rPr>
          <w:rFonts w:ascii="Times New Roman" w:eastAsia="Calibri" w:hAnsi="Times New Roman" w:cs="Times New Roman"/>
          <w:sz w:val="28"/>
          <w:szCs w:val="24"/>
          <w:lang w:eastAsia="ru-RU"/>
        </w:rPr>
        <w:t>аселения Российской Федерации.</w:t>
      </w:r>
    </w:p>
    <w:p w:rsidR="00FE3C74" w:rsidRDefault="00C66642" w:rsidP="00C666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из приведенного определения логически следует, что все эти условия должны выполняться одновременно. Соответственно, муниципальные образования, для которых не выполняется хотя бы одно из этих условий и которые при этом не расположены на территории города </w:t>
      </w:r>
      <w:r w:rsidRPr="00DC1206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значения</w:t>
      </w:r>
      <w:r>
        <w:rPr>
          <w:rStyle w:val="a5"/>
          <w:rFonts w:ascii="Times New Roman" w:eastAsia="Calibri" w:hAnsi="Times New Roman" w:cs="Times New Roman"/>
          <w:sz w:val="28"/>
          <w:szCs w:val="28"/>
          <w:lang w:eastAsia="ru-RU"/>
        </w:rPr>
        <w:footnoteReference w:id="5"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«автоматически» относятся к муниципальным округам. Эта логика «от обратного» закреплена в определении муниципального округа, содержащегося в </w:t>
      </w:r>
      <w:r w:rsidRPr="006D3743">
        <w:rPr>
          <w:rFonts w:ascii="Times New Roman" w:eastAsia="Calibri" w:hAnsi="Times New Roman" w:cs="Times New Roman"/>
          <w:sz w:val="28"/>
          <w:szCs w:val="24"/>
          <w:lang w:eastAsia="ru-RU"/>
        </w:rPr>
        <w:t>п</w:t>
      </w:r>
      <w:r w:rsidR="00303C6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ункте </w:t>
      </w:r>
      <w:r w:rsidRPr="006D374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4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статьи 9 </w:t>
      </w:r>
      <w:r w:rsidRPr="006D3743">
        <w:rPr>
          <w:rFonts w:ascii="Times New Roman" w:eastAsia="Calibri" w:hAnsi="Times New Roman" w:cs="Times New Roman"/>
          <w:sz w:val="28"/>
          <w:szCs w:val="24"/>
          <w:lang w:eastAsia="ru-RU"/>
        </w:rPr>
        <w:t>Законопроекта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:</w:t>
      </w:r>
    </w:p>
    <w:p w:rsidR="00DC1206" w:rsidRPr="006D3743" w:rsidRDefault="00893176" w:rsidP="00C666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E7E6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Муниципальным </w:t>
      </w:r>
      <w:r w:rsidR="00DC1206" w:rsidRPr="003E7E6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округом является муниципальное образование, не соответствующее требованиям к доле населения, проживающего в городах и (или) иных городских населенных пунктах, и площади территории городского округа либо к плотности населения на территории городского округа, которые предусмот</w:t>
      </w:r>
      <w:r w:rsidR="00C66642" w:rsidRPr="003E7E6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рены частью 3 настоящей статьи</w:t>
      </w:r>
      <w:r w:rsidR="00C6664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C1206" w:rsidRPr="006D3743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021A50" w:rsidRDefault="00021A50" w:rsidP="00BA77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Кроме того, в статье 86 Законопроекта отдельно указано, что «з</w:t>
      </w:r>
      <w:r w:rsidRPr="00021A50">
        <w:rPr>
          <w:rFonts w:ascii="Times New Roman" w:eastAsia="Calibri" w:hAnsi="Times New Roman" w:cs="Times New Roman"/>
          <w:sz w:val="28"/>
          <w:szCs w:val="28"/>
          <w:lang w:eastAsia="ru-RU"/>
        </w:rPr>
        <w:t>акрытые административно-территориальные образования являются городскими округами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  <w:r w:rsidR="00241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можно трактовать так, что </w:t>
      </w:r>
      <w:r w:rsidR="002410EF" w:rsidRPr="002410EF">
        <w:rPr>
          <w:rFonts w:ascii="Times New Roman" w:eastAsia="Calibri" w:hAnsi="Times New Roman" w:cs="Times New Roman"/>
          <w:sz w:val="28"/>
          <w:szCs w:val="28"/>
          <w:lang w:eastAsia="ru-RU"/>
        </w:rPr>
        <w:t>ЗАТО</w:t>
      </w:r>
      <w:r w:rsidRPr="00241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410EF" w:rsidRPr="002410EF">
        <w:rPr>
          <w:rFonts w:ascii="Times New Roman" w:eastAsia="Calibri" w:hAnsi="Times New Roman" w:cs="Times New Roman"/>
          <w:sz w:val="28"/>
          <w:szCs w:val="28"/>
          <w:lang w:eastAsia="ru-RU"/>
        </w:rPr>
        <w:t>получ</w:t>
      </w:r>
      <w:r w:rsidR="00303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ают </w:t>
      </w:r>
      <w:r w:rsidR="002410EF" w:rsidRPr="002410EF">
        <w:rPr>
          <w:rFonts w:ascii="Times New Roman" w:eastAsia="Calibri" w:hAnsi="Times New Roman" w:cs="Times New Roman"/>
          <w:sz w:val="28"/>
          <w:szCs w:val="28"/>
          <w:lang w:eastAsia="ru-RU"/>
        </w:rPr>
        <w:t>статус</w:t>
      </w:r>
      <w:r w:rsidRPr="00241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</w:t>
      </w:r>
      <w:r w:rsidR="00DF0FC6" w:rsidRPr="00241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410EF" w:rsidRPr="002410EF">
        <w:rPr>
          <w:rFonts w:ascii="Times New Roman" w:eastAsia="Calibri" w:hAnsi="Times New Roman" w:cs="Times New Roman"/>
          <w:sz w:val="28"/>
          <w:szCs w:val="28"/>
          <w:lang w:eastAsia="ru-RU"/>
        </w:rPr>
        <w:t>даже при невыполнении условий, содержащихся в определении городского округа.</w:t>
      </w:r>
    </w:p>
    <w:p w:rsidR="0062469D" w:rsidRDefault="00496370" w:rsidP="0049637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Следует отметить, что </w:t>
      </w:r>
      <w:r w:rsidR="0062469D">
        <w:rPr>
          <w:rFonts w:ascii="Times New Roman" w:eastAsia="Calibri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приведенны</w:t>
      </w:r>
      <w:r w:rsidR="006246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услови</w:t>
      </w:r>
      <w:r w:rsidR="0062469D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содержатся и в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действующей редакции </w:t>
      </w:r>
      <w:r w:rsidR="00EE49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Закона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№ 131-ФЗ</w:t>
      </w:r>
      <w:r w:rsidR="0062469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Правда, в </w:t>
      </w:r>
      <w:r w:rsidR="006246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определение городского округа (часть 1 статьи 2 </w:t>
      </w:r>
      <w:r w:rsidR="0062469D" w:rsidRPr="003E7E69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указанного Закона</w:t>
      </w:r>
      <w:r w:rsidR="006246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включены только первые два из них, но зато полный их набор присутствует в статье 11 «Границы муниципальных образований». Собственно, пункт 3.3 части 1 данной статьи и был дословно воспроизведен в Законопроекте в качестве определения городского округа. </w:t>
      </w:r>
    </w:p>
    <w:p w:rsidR="008D6F3B" w:rsidRDefault="008D6F3B" w:rsidP="0049637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 актуальное определение городского округа, и пункт 3.3 части 1 статьи 11 «Границы муниципальных образований» </w:t>
      </w:r>
      <w:r w:rsidR="0062469D">
        <w:rPr>
          <w:rFonts w:ascii="Times New Roman" w:eastAsia="Calibri" w:hAnsi="Times New Roman" w:cs="Times New Roman"/>
          <w:sz w:val="28"/>
          <w:szCs w:val="28"/>
          <w:lang w:eastAsia="ru-RU"/>
        </w:rPr>
        <w:t>был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2469D" w:rsidRPr="006246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введен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 в</w:t>
      </w:r>
      <w:r w:rsidR="0062469D" w:rsidRPr="006246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E1A6B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акон № 131-ФЗ</w:t>
      </w:r>
      <w:r w:rsidRPr="006246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70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сравнительно недавно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2019 году</w:t>
      </w:r>
      <w:r>
        <w:rPr>
          <w:rStyle w:val="a5"/>
          <w:rFonts w:ascii="Times New Roman" w:eastAsia="Calibri" w:hAnsi="Times New Roman" w:cs="Times New Roman"/>
          <w:sz w:val="28"/>
          <w:szCs w:val="28"/>
          <w:lang w:eastAsia="ru-RU"/>
        </w:rPr>
        <w:footnoteReference w:id="6"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Ранее </w:t>
      </w:r>
      <w:r w:rsidR="00801AB4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указанный федеральный</w:t>
      </w:r>
      <w:r w:rsidR="00E8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 не предусматривал для городских округов ограничений по доле городского населения, площади городских населенных пунктов и плотности населения, но </w:t>
      </w:r>
      <w:r w:rsidR="00E8120F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</w:t>
      </w:r>
      <w:r w:rsidR="003704F0">
        <w:rPr>
          <w:rFonts w:ascii="Times New Roman" w:eastAsia="Calibri" w:hAnsi="Times New Roman" w:cs="Times New Roman"/>
          <w:sz w:val="28"/>
          <w:szCs w:val="28"/>
          <w:lang w:eastAsia="ru-RU"/>
        </w:rPr>
        <w:t>, правда,</w:t>
      </w:r>
      <w:r w:rsidR="00E8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</w:t>
      </w:r>
      <w:r w:rsidR="00A71E94">
        <w:rPr>
          <w:rFonts w:ascii="Times New Roman" w:eastAsia="Calibri" w:hAnsi="Times New Roman" w:cs="Times New Roman"/>
          <w:sz w:val="28"/>
          <w:szCs w:val="28"/>
          <w:lang w:eastAsia="ru-RU"/>
        </w:rPr>
        <w:t>допускал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нахождение на территории городского округа более одного городского населенного пункта. </w:t>
      </w:r>
    </w:p>
    <w:p w:rsidR="008D6F3B" w:rsidRDefault="008D6F3B" w:rsidP="004950F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введения в действие указанных поправок </w:t>
      </w:r>
      <w:r w:rsidR="00495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установленные ими условия применялись </w:t>
      </w:r>
      <w:r w:rsidR="006309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главным образом </w:t>
      </w:r>
      <w:r w:rsidR="00495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образовании новых городских округов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базе муниципальных районов, но существующие городские округа </w:t>
      </w:r>
      <w:r w:rsidR="00495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соответствие этим условиям </w:t>
      </w:r>
      <w:r w:rsidR="003724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обязательном порядке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поверялись. То есть </w:t>
      </w:r>
      <w:r w:rsidR="004950FB">
        <w:rPr>
          <w:rFonts w:ascii="Times New Roman" w:eastAsia="Calibri" w:hAnsi="Times New Roman" w:cs="Times New Roman"/>
          <w:sz w:val="28"/>
          <w:szCs w:val="28"/>
          <w:lang w:eastAsia="ru-RU"/>
        </w:rPr>
        <w:t>де-факто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закон, которым были внесены </w:t>
      </w:r>
      <w:r w:rsidR="00495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поправки в </w:t>
      </w:r>
      <w:r w:rsidR="007E1A6B">
        <w:rPr>
          <w:rFonts w:ascii="Times New Roman" w:eastAsia="Calibri" w:hAnsi="Times New Roman" w:cs="Times New Roman"/>
          <w:sz w:val="28"/>
          <w:szCs w:val="24"/>
          <w:lang w:eastAsia="ru-RU"/>
        </w:rPr>
        <w:t>З</w:t>
      </w:r>
      <w:r w:rsidR="004950F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акон № 131-ФЗ, </w:t>
      </w:r>
      <w:r w:rsidR="00D26AD8">
        <w:rPr>
          <w:rFonts w:ascii="Times New Roman" w:eastAsia="Calibri" w:hAnsi="Times New Roman" w:cs="Times New Roman"/>
          <w:sz w:val="28"/>
          <w:szCs w:val="24"/>
          <w:lang w:eastAsia="ru-RU"/>
        </w:rPr>
        <w:t>применялся как закон,</w:t>
      </w:r>
      <w:r w:rsidR="004950F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не имеющ</w:t>
      </w:r>
      <w:r w:rsidR="003E7E69">
        <w:rPr>
          <w:rFonts w:ascii="Times New Roman" w:eastAsia="Calibri" w:hAnsi="Times New Roman" w:cs="Times New Roman"/>
          <w:sz w:val="28"/>
          <w:szCs w:val="24"/>
          <w:lang w:eastAsia="ru-RU"/>
        </w:rPr>
        <w:t>ий</w:t>
      </w:r>
      <w:r w:rsidR="004950F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обратной силы. </w:t>
      </w:r>
      <w:r w:rsidR="00EE4983">
        <w:rPr>
          <w:rFonts w:ascii="Times New Roman" w:eastAsia="Calibri" w:hAnsi="Times New Roman" w:cs="Times New Roman"/>
          <w:sz w:val="28"/>
          <w:szCs w:val="24"/>
          <w:lang w:eastAsia="ru-RU"/>
        </w:rPr>
        <w:t>Лишь некоторые регионы в инициативном порядке провели ревизию</w:t>
      </w:r>
      <w:r w:rsidR="003704F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состава</w:t>
      </w:r>
      <w:r w:rsidR="00EE49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своих городских округов</w:t>
      </w:r>
      <w:r w:rsidR="00D26AD8">
        <w:rPr>
          <w:rFonts w:ascii="Times New Roman" w:eastAsia="Calibri" w:hAnsi="Times New Roman" w:cs="Times New Roman"/>
          <w:sz w:val="28"/>
          <w:szCs w:val="24"/>
          <w:lang w:eastAsia="ru-RU"/>
        </w:rPr>
        <w:t>. Например</w:t>
      </w:r>
      <w:r w:rsidR="00442855">
        <w:rPr>
          <w:rFonts w:ascii="Times New Roman" w:eastAsia="Calibri" w:hAnsi="Times New Roman" w:cs="Times New Roman"/>
          <w:sz w:val="28"/>
          <w:szCs w:val="24"/>
          <w:lang w:eastAsia="ru-RU"/>
        </w:rPr>
        <w:t>,</w:t>
      </w:r>
      <w:r w:rsidR="00EE49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 Калининградской области с 2022 года все городские округа, не соответствовавшие этому статусу согласно новой редакции закона, были преобразованы в муниципальные округа</w:t>
      </w:r>
      <w:r w:rsidR="002A37F3">
        <w:rPr>
          <w:rStyle w:val="a5"/>
          <w:rFonts w:ascii="Times New Roman" w:eastAsia="Calibri" w:hAnsi="Times New Roman" w:cs="Times New Roman"/>
          <w:sz w:val="28"/>
          <w:szCs w:val="24"/>
          <w:lang w:eastAsia="ru-RU"/>
        </w:rPr>
        <w:footnoteReference w:id="7"/>
      </w:r>
      <w:r w:rsidR="00EE49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</w:t>
      </w:r>
      <w:r w:rsidR="006309BB">
        <w:rPr>
          <w:rFonts w:ascii="Times New Roman" w:eastAsia="Calibri" w:hAnsi="Times New Roman" w:cs="Times New Roman"/>
          <w:sz w:val="28"/>
          <w:szCs w:val="24"/>
          <w:lang w:eastAsia="ru-RU"/>
        </w:rPr>
        <w:t>В</w:t>
      </w:r>
      <w:r w:rsidR="004950F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ведение </w:t>
      </w:r>
      <w:r w:rsidR="006309B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же </w:t>
      </w:r>
      <w:r w:rsidR="004950F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действие рассматриваемого Законопроекта потребует </w:t>
      </w:r>
      <w:r w:rsidR="006309BB">
        <w:rPr>
          <w:rFonts w:ascii="Times New Roman" w:eastAsia="Calibri" w:hAnsi="Times New Roman" w:cs="Times New Roman"/>
          <w:sz w:val="28"/>
          <w:szCs w:val="24"/>
          <w:lang w:eastAsia="ru-RU"/>
        </w:rPr>
        <w:t>полной ревизии</w:t>
      </w:r>
      <w:r w:rsidR="004950F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всей </w:t>
      </w:r>
      <w:r w:rsidR="00D60E7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системы </w:t>
      </w:r>
      <w:r w:rsidR="006933BE">
        <w:rPr>
          <w:rFonts w:ascii="Times New Roman" w:eastAsia="Calibri" w:hAnsi="Times New Roman" w:cs="Times New Roman"/>
          <w:sz w:val="28"/>
          <w:szCs w:val="24"/>
          <w:lang w:eastAsia="ru-RU"/>
        </w:rPr>
        <w:t>территориальной организации местного самоу</w:t>
      </w:r>
      <w:r w:rsidR="00BC0B24">
        <w:rPr>
          <w:rFonts w:ascii="Times New Roman" w:eastAsia="Calibri" w:hAnsi="Times New Roman" w:cs="Times New Roman"/>
          <w:sz w:val="28"/>
          <w:szCs w:val="24"/>
          <w:lang w:eastAsia="ru-RU"/>
        </w:rPr>
        <w:t>п</w:t>
      </w:r>
      <w:r w:rsidR="006933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равления </w:t>
      </w:r>
      <w:r w:rsidR="008168D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стране, </w:t>
      </w:r>
      <w:r w:rsidR="00732ADF">
        <w:rPr>
          <w:rFonts w:ascii="Times New Roman" w:eastAsia="Calibri" w:hAnsi="Times New Roman" w:cs="Times New Roman"/>
          <w:sz w:val="28"/>
          <w:szCs w:val="24"/>
          <w:lang w:eastAsia="ru-RU"/>
        </w:rPr>
        <w:t>в том числе</w:t>
      </w:r>
      <w:r w:rsidR="003E7E6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 части выделения</w:t>
      </w:r>
      <w:r w:rsidR="00732AD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городских округов</w:t>
      </w:r>
      <w:r w:rsidR="006309BB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237F44" w:rsidRDefault="006309BB" w:rsidP="0049637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Поэтому представляется важным оценить, какая часть существующих городских округов </w:t>
      </w:r>
      <w:r w:rsidR="006641C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может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утратить этот статус в новых правовых условиях. </w:t>
      </w:r>
      <w:r w:rsidR="00237F44">
        <w:rPr>
          <w:rFonts w:ascii="Times New Roman" w:eastAsia="Calibri" w:hAnsi="Times New Roman" w:cs="Times New Roman"/>
          <w:sz w:val="28"/>
          <w:szCs w:val="24"/>
          <w:lang w:eastAsia="ru-RU"/>
        </w:rPr>
        <w:t>ЗАТО из рассмотрения целесообразно исключить как получающи</w:t>
      </w:r>
      <w:r w:rsidR="00442855">
        <w:rPr>
          <w:rFonts w:ascii="Times New Roman" w:eastAsia="Calibri" w:hAnsi="Times New Roman" w:cs="Times New Roman"/>
          <w:sz w:val="28"/>
          <w:szCs w:val="24"/>
          <w:lang w:eastAsia="ru-RU"/>
        </w:rPr>
        <w:t>е</w:t>
      </w:r>
      <w:r w:rsidR="00237F4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статус городского округа «по </w:t>
      </w:r>
      <w:r w:rsidR="00732ADF">
        <w:rPr>
          <w:rFonts w:ascii="Times New Roman" w:eastAsia="Calibri" w:hAnsi="Times New Roman" w:cs="Times New Roman"/>
          <w:sz w:val="28"/>
          <w:szCs w:val="24"/>
          <w:lang w:eastAsia="ru-RU"/>
        </w:rPr>
        <w:t>определению</w:t>
      </w:r>
      <w:r w:rsidR="00237F4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». </w:t>
      </w:r>
    </w:p>
    <w:p w:rsidR="00496370" w:rsidRDefault="006309BB" w:rsidP="0049637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С этой целью д</w:t>
      </w:r>
      <w:r w:rsidR="0075205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ля всех </w:t>
      </w:r>
      <w:r w:rsidR="00732ADF">
        <w:rPr>
          <w:rFonts w:ascii="Times New Roman" w:eastAsia="Calibri" w:hAnsi="Times New Roman" w:cs="Times New Roman"/>
          <w:sz w:val="28"/>
          <w:szCs w:val="24"/>
          <w:lang w:eastAsia="ru-RU"/>
        </w:rPr>
        <w:t>583 имеющихся</w:t>
      </w:r>
      <w:r w:rsidR="00BC0B2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 </w:t>
      </w:r>
      <w:r w:rsidR="0028737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1 </w:t>
      </w:r>
      <w:r w:rsidR="00752050">
        <w:rPr>
          <w:rFonts w:ascii="Times New Roman" w:eastAsia="Calibri" w:hAnsi="Times New Roman" w:cs="Times New Roman"/>
          <w:sz w:val="28"/>
          <w:szCs w:val="24"/>
          <w:lang w:eastAsia="ru-RU"/>
        </w:rPr>
        <w:t>март</w:t>
      </w:r>
      <w:r w:rsidR="00287379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75205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2022 года в России городских округов</w:t>
      </w:r>
      <w:r w:rsidR="00237F44">
        <w:rPr>
          <w:rFonts w:ascii="Times New Roman" w:eastAsia="Calibri" w:hAnsi="Times New Roman" w:cs="Times New Roman"/>
          <w:sz w:val="28"/>
          <w:szCs w:val="24"/>
          <w:lang w:eastAsia="ru-RU"/>
        </w:rPr>
        <w:t>, не являющихся ЗАТО</w:t>
      </w:r>
      <w:r w:rsidR="003E7E69">
        <w:rPr>
          <w:rFonts w:ascii="Times New Roman" w:eastAsia="Calibri" w:hAnsi="Times New Roman" w:cs="Times New Roman"/>
          <w:sz w:val="28"/>
          <w:szCs w:val="24"/>
          <w:lang w:eastAsia="ru-RU"/>
        </w:rPr>
        <w:t>,</w:t>
      </w:r>
      <w:r w:rsidR="0075205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были рассчитаны:</w:t>
      </w:r>
    </w:p>
    <w:p w:rsidR="00237F44" w:rsidRPr="00237F44" w:rsidRDefault="00237F44" w:rsidP="00237F4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37F4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число городских населенных пунктов на территории </w:t>
      </w:r>
      <w:r w:rsidRPr="00237F44">
        <w:rPr>
          <w:rFonts w:ascii="Times New Roman" w:eastAsia="Calibri" w:hAnsi="Times New Roman" w:cs="Times New Roman"/>
          <w:sz w:val="28"/>
          <w:szCs w:val="24"/>
          <w:lang w:eastAsia="ru-RU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</w:p>
    <w:p w:rsidR="00752050" w:rsidRDefault="00752050" w:rsidP="00752050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доля городского населения </w:t>
      </w:r>
      <w:r w:rsidR="00732ADF">
        <w:rPr>
          <w:rFonts w:ascii="Times New Roman" w:eastAsia="Calibri" w:hAnsi="Times New Roman" w:cs="Times New Roman"/>
          <w:sz w:val="28"/>
          <w:szCs w:val="24"/>
          <w:lang w:eastAsia="ru-RU"/>
        </w:rPr>
        <w:t>от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численности населения городского округа;</w:t>
      </w:r>
    </w:p>
    <w:p w:rsidR="00752050" w:rsidRDefault="00752050" w:rsidP="00752050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доля площади территории городских населенных пунктов </w:t>
      </w:r>
      <w:r w:rsidR="00732ADF">
        <w:rPr>
          <w:rFonts w:ascii="Times New Roman" w:eastAsia="Calibri" w:hAnsi="Times New Roman" w:cs="Times New Roman"/>
          <w:sz w:val="28"/>
          <w:szCs w:val="24"/>
          <w:lang w:eastAsia="ru-RU"/>
        </w:rPr>
        <w:t>от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площади городского округа;</w:t>
      </w:r>
    </w:p>
    <w:p w:rsidR="00752050" w:rsidRDefault="00752050" w:rsidP="00752050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отношение плотности населения городского округа к средней плотности населения России.</w:t>
      </w:r>
    </w:p>
    <w:p w:rsidR="00752050" w:rsidRDefault="00287379" w:rsidP="0049637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Первичные статистические данные для расчета этих показателей </w:t>
      </w:r>
      <w:r w:rsidR="00E8120F">
        <w:rPr>
          <w:rFonts w:ascii="Times New Roman" w:eastAsia="Calibri" w:hAnsi="Times New Roman" w:cs="Times New Roman"/>
          <w:sz w:val="28"/>
          <w:szCs w:val="24"/>
          <w:lang w:eastAsia="ru-RU"/>
        </w:rPr>
        <w:t>были получены</w:t>
      </w:r>
      <w:r w:rsidR="0075205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из базы данных показателей муниципальных образований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Росстата. В случае отсутствия в </w:t>
      </w:r>
      <w:r w:rsidR="00DF0FC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указанной </w:t>
      </w:r>
      <w:r w:rsidR="003704F0">
        <w:rPr>
          <w:rFonts w:ascii="Times New Roman" w:eastAsia="Calibri" w:hAnsi="Times New Roman" w:cs="Times New Roman"/>
          <w:sz w:val="28"/>
          <w:szCs w:val="24"/>
          <w:lang w:eastAsia="ru-RU"/>
        </w:rPr>
        <w:t>базе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данных </w:t>
      </w:r>
      <w:r w:rsidR="003704F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информации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 площади городских населенных пунктов в составе городского округа и/или площади самого городского округа значения этих показателей определялись на основе Гугл-карт. </w:t>
      </w:r>
    </w:p>
    <w:p w:rsidR="006557D6" w:rsidRDefault="00F434B3" w:rsidP="0049637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Количество</w:t>
      </w:r>
      <w:r w:rsidR="005B24D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DC30B5">
        <w:rPr>
          <w:rFonts w:ascii="Times New Roman" w:eastAsia="Calibri" w:hAnsi="Times New Roman" w:cs="Times New Roman"/>
          <w:sz w:val="28"/>
          <w:szCs w:val="24"/>
          <w:lang w:eastAsia="ru-RU"/>
        </w:rPr>
        <w:t>городских округов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которые не соответствуют </w:t>
      </w:r>
      <w:r w:rsidR="00633D05">
        <w:rPr>
          <w:rFonts w:ascii="Times New Roman" w:eastAsia="Calibri" w:hAnsi="Times New Roman" w:cs="Times New Roman"/>
          <w:sz w:val="28"/>
          <w:szCs w:val="24"/>
          <w:lang w:eastAsia="ru-RU"/>
        </w:rPr>
        <w:t>указанным критериям, в том числе</w:t>
      </w:r>
      <w:r w:rsidR="00DC30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633D0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их </w:t>
      </w:r>
      <w:r w:rsidR="005B24D2">
        <w:rPr>
          <w:rFonts w:ascii="Times New Roman" w:eastAsia="Calibri" w:hAnsi="Times New Roman" w:cs="Times New Roman"/>
          <w:sz w:val="28"/>
          <w:szCs w:val="24"/>
          <w:lang w:eastAsia="ru-RU"/>
        </w:rPr>
        <w:t>распределение по федеральным округам</w:t>
      </w:r>
      <w:r w:rsidR="00633D05">
        <w:rPr>
          <w:rFonts w:ascii="Times New Roman" w:eastAsia="Calibri" w:hAnsi="Times New Roman" w:cs="Times New Roman"/>
          <w:sz w:val="28"/>
          <w:szCs w:val="24"/>
          <w:lang w:eastAsia="ru-RU"/>
        </w:rPr>
        <w:t>,</w:t>
      </w:r>
      <w:r w:rsidR="005B24D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представлен</w:t>
      </w:r>
      <w:r w:rsidR="00633D05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5B24D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 таблице 1. </w:t>
      </w:r>
    </w:p>
    <w:p w:rsidR="00EF2684" w:rsidRDefault="00EF2684" w:rsidP="0049637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52050" w:rsidRDefault="00752050" w:rsidP="0049637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1741" w:rsidRDefault="004B1741" w:rsidP="004B174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1741" w:rsidRDefault="004B1741" w:rsidP="004B174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B174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1741" w:rsidRPr="00333120" w:rsidRDefault="004B1741" w:rsidP="004B174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31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Таблица 1 – </w:t>
      </w:r>
      <w:r w:rsidR="006536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Количество</w:t>
      </w:r>
      <w:r w:rsidRPr="003331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городских округов, не соответствующих критериям присвоения статуса городского округа согласно Законопроекту</w:t>
      </w:r>
    </w:p>
    <w:tbl>
      <w:tblPr>
        <w:tblStyle w:val="af2"/>
        <w:tblW w:w="15701" w:type="dxa"/>
        <w:jc w:val="center"/>
        <w:tblLook w:val="04A0" w:firstRow="1" w:lastRow="0" w:firstColumn="1" w:lastColumn="0" w:noHBand="0" w:noVBand="1"/>
      </w:tblPr>
      <w:tblGrid>
        <w:gridCol w:w="4815"/>
        <w:gridCol w:w="955"/>
        <w:gridCol w:w="1094"/>
        <w:gridCol w:w="1094"/>
        <w:gridCol w:w="1123"/>
        <w:gridCol w:w="1114"/>
        <w:gridCol w:w="1133"/>
        <w:gridCol w:w="1094"/>
        <w:gridCol w:w="1094"/>
        <w:gridCol w:w="1092"/>
        <w:gridCol w:w="1093"/>
      </w:tblGrid>
      <w:tr w:rsidR="00653652" w:rsidRPr="007E1A6B" w:rsidTr="00442855">
        <w:trPr>
          <w:tblHeader/>
          <w:jc w:val="center"/>
        </w:trPr>
        <w:tc>
          <w:tcPr>
            <w:tcW w:w="4815" w:type="dxa"/>
            <w:vMerge w:val="restart"/>
          </w:tcPr>
          <w:p w:rsidR="00653652" w:rsidRPr="003E7E69" w:rsidRDefault="00653652" w:rsidP="003E7E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7E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0886" w:type="dxa"/>
            <w:gridSpan w:val="10"/>
          </w:tcPr>
          <w:p w:rsidR="00653652" w:rsidRDefault="00653652" w:rsidP="008168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7E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городских округов, не соответствующих критериям</w:t>
            </w:r>
          </w:p>
          <w:p w:rsidR="00653652" w:rsidRPr="003E7E69" w:rsidRDefault="00653652" w:rsidP="008168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3652" w:rsidRPr="007E1A6B" w:rsidTr="00DD0C54">
        <w:trPr>
          <w:tblHeader/>
          <w:jc w:val="center"/>
        </w:trPr>
        <w:tc>
          <w:tcPr>
            <w:tcW w:w="4815" w:type="dxa"/>
            <w:vMerge/>
          </w:tcPr>
          <w:p w:rsidR="00653652" w:rsidRPr="007E1A6B" w:rsidRDefault="00653652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</w:tcPr>
          <w:p w:rsidR="00653652" w:rsidRPr="007E1A6B" w:rsidRDefault="00653652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37" w:type="dxa"/>
            <w:gridSpan w:val="8"/>
          </w:tcPr>
          <w:p w:rsidR="00653652" w:rsidRPr="007E1A6B" w:rsidRDefault="00653652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федеральным округам, ед.</w:t>
            </w:r>
          </w:p>
        </w:tc>
      </w:tr>
      <w:tr w:rsidR="00653652" w:rsidRPr="007E1A6B" w:rsidTr="00DD0C54">
        <w:trPr>
          <w:tblHeader/>
          <w:jc w:val="center"/>
        </w:trPr>
        <w:tc>
          <w:tcPr>
            <w:tcW w:w="4815" w:type="dxa"/>
            <w:vMerge/>
          </w:tcPr>
          <w:p w:rsidR="00653652" w:rsidRPr="007E1A6B" w:rsidRDefault="00653652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653652" w:rsidRPr="007E1A6B" w:rsidRDefault="00653652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94" w:type="dxa"/>
          </w:tcPr>
          <w:p w:rsidR="00653652" w:rsidRPr="007E1A6B" w:rsidRDefault="00653652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  <w:tc>
          <w:tcPr>
            <w:tcW w:w="1094" w:type="dxa"/>
          </w:tcPr>
          <w:p w:rsidR="00653652" w:rsidRPr="007E1A6B" w:rsidRDefault="00653652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1123" w:type="dxa"/>
          </w:tcPr>
          <w:p w:rsidR="00653652" w:rsidRPr="007E1A6B" w:rsidRDefault="00653652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1114" w:type="dxa"/>
          </w:tcPr>
          <w:p w:rsidR="00653652" w:rsidRPr="007E1A6B" w:rsidRDefault="00653652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ЮФО</w:t>
            </w:r>
          </w:p>
        </w:tc>
        <w:tc>
          <w:tcPr>
            <w:tcW w:w="1133" w:type="dxa"/>
          </w:tcPr>
          <w:p w:rsidR="00653652" w:rsidRPr="007E1A6B" w:rsidRDefault="00653652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СКФО</w:t>
            </w:r>
          </w:p>
        </w:tc>
        <w:tc>
          <w:tcPr>
            <w:tcW w:w="1094" w:type="dxa"/>
          </w:tcPr>
          <w:p w:rsidR="00653652" w:rsidRPr="007E1A6B" w:rsidRDefault="00653652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1094" w:type="dxa"/>
          </w:tcPr>
          <w:p w:rsidR="00653652" w:rsidRPr="007E1A6B" w:rsidRDefault="00653652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УФО</w:t>
            </w:r>
          </w:p>
        </w:tc>
        <w:tc>
          <w:tcPr>
            <w:tcW w:w="1092" w:type="dxa"/>
          </w:tcPr>
          <w:p w:rsidR="00653652" w:rsidRPr="007E1A6B" w:rsidRDefault="00653652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1093" w:type="dxa"/>
          </w:tcPr>
          <w:p w:rsidR="00653652" w:rsidRPr="007E1A6B" w:rsidRDefault="00653652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ДФО</w:t>
            </w:r>
          </w:p>
        </w:tc>
      </w:tr>
      <w:tr w:rsidR="00AF3AFE" w:rsidRPr="007E1A6B" w:rsidTr="00DD0C54">
        <w:trPr>
          <w:jc w:val="center"/>
        </w:trPr>
        <w:tc>
          <w:tcPr>
            <w:tcW w:w="4815" w:type="dxa"/>
          </w:tcPr>
          <w:p w:rsidR="00AF3AFE" w:rsidRPr="007E1A6B" w:rsidRDefault="00AF3AFE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городских населенных пунктов на территории городского округа</w:t>
            </w:r>
          </w:p>
        </w:tc>
        <w:tc>
          <w:tcPr>
            <w:tcW w:w="955" w:type="dxa"/>
          </w:tcPr>
          <w:p w:rsidR="00AF3AFE" w:rsidRPr="007E1A6B" w:rsidRDefault="00AF3AFE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</w:tcPr>
          <w:p w:rsidR="00AF3AFE" w:rsidRPr="007E1A6B" w:rsidRDefault="00AF3AFE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94" w:type="dxa"/>
          </w:tcPr>
          <w:p w:rsidR="00AF3AFE" w:rsidRPr="007E1A6B" w:rsidRDefault="00AF3AFE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dxa"/>
          </w:tcPr>
          <w:p w:rsidR="00AF3AFE" w:rsidRPr="007E1A6B" w:rsidRDefault="00AF3AFE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</w:tcPr>
          <w:p w:rsidR="00AF3AFE" w:rsidRPr="007E1A6B" w:rsidRDefault="00AF3AFE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AF3AFE" w:rsidRPr="007E1A6B" w:rsidRDefault="00AF3AFE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</w:tcPr>
          <w:p w:rsidR="00AF3AFE" w:rsidRPr="007E1A6B" w:rsidRDefault="00AF3AFE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</w:tcPr>
          <w:p w:rsidR="00AF3AFE" w:rsidRPr="007E1A6B" w:rsidRDefault="00AF3AFE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</w:tcPr>
          <w:p w:rsidR="00AF3AFE" w:rsidRPr="007E1A6B" w:rsidRDefault="00AF3AFE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AF3AFE" w:rsidRPr="007E1A6B" w:rsidRDefault="00AF3AFE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1741" w:rsidRPr="007E1A6B" w:rsidTr="00DD0C54">
        <w:trPr>
          <w:jc w:val="center"/>
        </w:trPr>
        <w:tc>
          <w:tcPr>
            <w:tcW w:w="4815" w:type="dxa"/>
          </w:tcPr>
          <w:p w:rsidR="004B1741" w:rsidRPr="007E1A6B" w:rsidRDefault="004B1741" w:rsidP="00F434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городского населения </w:t>
            </w:r>
            <w:r w:rsidR="00F434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</w:t>
            </w: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численности населения </w:t>
            </w:r>
            <w:r w:rsidR="00F434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955" w:type="dxa"/>
          </w:tcPr>
          <w:p w:rsidR="004B1741" w:rsidRPr="007E1A6B" w:rsidRDefault="004D4F88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820E6D"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</w:tcPr>
          <w:p w:rsidR="004B1741" w:rsidRPr="007E1A6B" w:rsidRDefault="00CF60F3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</w:t>
            </w:r>
            <w:r w:rsidR="00820E6D"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4" w:type="dxa"/>
          </w:tcPr>
          <w:p w:rsidR="004B1741" w:rsidRPr="007E1A6B" w:rsidRDefault="004D4F88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9745F4"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" w:type="dxa"/>
          </w:tcPr>
          <w:p w:rsidR="004B1741" w:rsidRPr="007E1A6B" w:rsidRDefault="0097138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</w:tcPr>
          <w:p w:rsidR="004B1741" w:rsidRPr="007E1A6B" w:rsidRDefault="004D4F88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</w:tcPr>
          <w:p w:rsidR="004B1741" w:rsidRPr="007E1A6B" w:rsidRDefault="004B1741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4" w:type="dxa"/>
          </w:tcPr>
          <w:p w:rsidR="004B1741" w:rsidRPr="007E1A6B" w:rsidRDefault="004B1741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820E6D"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4" w:type="dxa"/>
          </w:tcPr>
          <w:p w:rsidR="004B1741" w:rsidRPr="007E1A6B" w:rsidRDefault="004B1741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D4F88"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</w:tcPr>
          <w:p w:rsidR="004B1741" w:rsidRPr="007E1A6B" w:rsidRDefault="004B1741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</w:tcPr>
          <w:p w:rsidR="004B1741" w:rsidRPr="007E1A6B" w:rsidRDefault="00820E6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1741" w:rsidRPr="007E1A6B" w:rsidTr="00DD0C54">
        <w:trPr>
          <w:jc w:val="center"/>
        </w:trPr>
        <w:tc>
          <w:tcPr>
            <w:tcW w:w="4815" w:type="dxa"/>
          </w:tcPr>
          <w:p w:rsidR="004B1741" w:rsidRPr="007E1A6B" w:rsidRDefault="004B1741" w:rsidP="00F434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площади территории городских населенных пунктов </w:t>
            </w:r>
            <w:r w:rsidR="00F434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</w:t>
            </w: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площади городского округа</w:t>
            </w:r>
          </w:p>
        </w:tc>
        <w:tc>
          <w:tcPr>
            <w:tcW w:w="955" w:type="dxa"/>
          </w:tcPr>
          <w:p w:rsidR="004B1741" w:rsidRPr="007E1A6B" w:rsidRDefault="0097138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  <w:r w:rsidR="0013447D"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4" w:type="dxa"/>
          </w:tcPr>
          <w:p w:rsidR="004B1741" w:rsidRPr="007E1A6B" w:rsidRDefault="0097138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</w:t>
            </w:r>
            <w:r w:rsidR="0013447D"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4" w:type="dxa"/>
          </w:tcPr>
          <w:p w:rsidR="004B1741" w:rsidRPr="007E1A6B" w:rsidRDefault="0097138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9745F4"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</w:tcPr>
          <w:p w:rsidR="004B1741" w:rsidRPr="007E1A6B" w:rsidRDefault="0097138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4" w:type="dxa"/>
          </w:tcPr>
          <w:p w:rsidR="004B1741" w:rsidRPr="007E1A6B" w:rsidRDefault="004B1741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971386"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4B1741" w:rsidRPr="007E1A6B" w:rsidRDefault="004B1741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4" w:type="dxa"/>
          </w:tcPr>
          <w:p w:rsidR="004B1741" w:rsidRPr="007E1A6B" w:rsidRDefault="0097138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94" w:type="dxa"/>
          </w:tcPr>
          <w:p w:rsidR="004B1741" w:rsidRPr="007E1A6B" w:rsidRDefault="0097138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92" w:type="dxa"/>
          </w:tcPr>
          <w:p w:rsidR="004B1741" w:rsidRPr="007E1A6B" w:rsidRDefault="004B1741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971386"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dxa"/>
          </w:tcPr>
          <w:p w:rsidR="004B1741" w:rsidRPr="007E1A6B" w:rsidRDefault="0097138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13447D"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B1741" w:rsidRPr="007E1A6B" w:rsidTr="00DD0C54">
        <w:trPr>
          <w:jc w:val="center"/>
        </w:trPr>
        <w:tc>
          <w:tcPr>
            <w:tcW w:w="4815" w:type="dxa"/>
          </w:tcPr>
          <w:p w:rsidR="004B1741" w:rsidRPr="007E1A6B" w:rsidRDefault="004B1741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Отношение плотности населения городского округа к средней плотности населения России</w:t>
            </w:r>
          </w:p>
        </w:tc>
        <w:tc>
          <w:tcPr>
            <w:tcW w:w="955" w:type="dxa"/>
          </w:tcPr>
          <w:p w:rsidR="004B1741" w:rsidRPr="007E1A6B" w:rsidRDefault="004B1741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71386"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081222"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4" w:type="dxa"/>
          </w:tcPr>
          <w:p w:rsidR="004B1741" w:rsidRPr="007E1A6B" w:rsidRDefault="0097138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</w:t>
            </w:r>
            <w:r w:rsidR="00081222"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4" w:type="dxa"/>
          </w:tcPr>
          <w:p w:rsidR="004B1741" w:rsidRPr="007E1A6B" w:rsidRDefault="00386DA5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3" w:type="dxa"/>
          </w:tcPr>
          <w:p w:rsidR="004B1741" w:rsidRPr="007E1A6B" w:rsidRDefault="00081222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4" w:type="dxa"/>
          </w:tcPr>
          <w:p w:rsidR="004B1741" w:rsidRPr="007E1A6B" w:rsidRDefault="00081222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4B1741" w:rsidRPr="007E1A6B" w:rsidRDefault="004B1741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4" w:type="dxa"/>
          </w:tcPr>
          <w:p w:rsidR="004B1741" w:rsidRPr="007E1A6B" w:rsidRDefault="004B1741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4" w:type="dxa"/>
          </w:tcPr>
          <w:p w:rsidR="004B1741" w:rsidRPr="007E1A6B" w:rsidRDefault="004B1741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92" w:type="dxa"/>
          </w:tcPr>
          <w:p w:rsidR="004B1741" w:rsidRPr="007E1A6B" w:rsidRDefault="004B1741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3" w:type="dxa"/>
          </w:tcPr>
          <w:p w:rsidR="004B1741" w:rsidRPr="007E1A6B" w:rsidRDefault="004B1741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081222"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339B" w:rsidRPr="007E1A6B" w:rsidTr="00DD0C54">
        <w:trPr>
          <w:jc w:val="center"/>
        </w:trPr>
        <w:tc>
          <w:tcPr>
            <w:tcW w:w="4815" w:type="dxa"/>
          </w:tcPr>
          <w:p w:rsidR="00BB339B" w:rsidRPr="007E1A6B" w:rsidRDefault="00BB339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(</w:t>
            </w:r>
            <w:r w:rsidR="00F434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соответствуют </w:t>
            </w: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одному или нескольким критериям)</w:t>
            </w:r>
          </w:p>
        </w:tc>
        <w:tc>
          <w:tcPr>
            <w:tcW w:w="955" w:type="dxa"/>
          </w:tcPr>
          <w:p w:rsidR="00BB339B" w:rsidRPr="007E1A6B" w:rsidRDefault="00820E6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094" w:type="dxa"/>
          </w:tcPr>
          <w:p w:rsidR="00BB339B" w:rsidRPr="007E1A6B" w:rsidRDefault="00F6463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094" w:type="dxa"/>
          </w:tcPr>
          <w:p w:rsidR="00BB339B" w:rsidRPr="007E1A6B" w:rsidRDefault="00F6463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23" w:type="dxa"/>
          </w:tcPr>
          <w:p w:rsidR="00BB339B" w:rsidRPr="007E1A6B" w:rsidRDefault="00F6463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4" w:type="dxa"/>
          </w:tcPr>
          <w:p w:rsidR="00BB339B" w:rsidRPr="007E1A6B" w:rsidRDefault="00F6463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3" w:type="dxa"/>
          </w:tcPr>
          <w:p w:rsidR="00BB339B" w:rsidRPr="007E1A6B" w:rsidRDefault="00F6463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4" w:type="dxa"/>
          </w:tcPr>
          <w:p w:rsidR="00BB339B" w:rsidRPr="007E1A6B" w:rsidRDefault="00F6463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94" w:type="dxa"/>
          </w:tcPr>
          <w:p w:rsidR="00BB339B" w:rsidRPr="007E1A6B" w:rsidRDefault="00F6463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92" w:type="dxa"/>
          </w:tcPr>
          <w:p w:rsidR="00BB339B" w:rsidRPr="007E1A6B" w:rsidRDefault="00F6463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93" w:type="dxa"/>
          </w:tcPr>
          <w:p w:rsidR="00BB339B" w:rsidRPr="007E1A6B" w:rsidRDefault="00F6463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</w:tbl>
    <w:p w:rsidR="00EF2684" w:rsidRDefault="00EF2684" w:rsidP="00BA77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03F0" w:rsidRDefault="008903F0" w:rsidP="00BA77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03F0" w:rsidRDefault="008903F0" w:rsidP="00BA77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8903F0" w:rsidSect="004B1741">
          <w:footerReference w:type="default" r:id="rId1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F2684" w:rsidRPr="004E3C7E" w:rsidRDefault="00EF2684" w:rsidP="00EF268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</w:pPr>
      <w:r w:rsidRPr="004E3C7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Число городских населенных пунктов на территории </w:t>
      </w:r>
      <w:r w:rsidRPr="004E3C7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городского округа</w:t>
      </w:r>
    </w:p>
    <w:p w:rsidR="00EF2684" w:rsidRDefault="00EF2684" w:rsidP="00EF26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Критерий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наличия на территории городского округа хотя бы одного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населенного пункта присутствовал в Законе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№ 131-ФЗ изначально, поэтому логично было предположить, что он выполняется для всех существующих городских округов</w:t>
      </w:r>
      <w:r w:rsidR="00633D05">
        <w:rPr>
          <w:rFonts w:ascii="Times New Roman" w:eastAsia="Calibri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во всяком случае</w:t>
      </w:r>
      <w:r w:rsidR="00303C67">
        <w:rPr>
          <w:rFonts w:ascii="Times New Roman" w:eastAsia="Calibri" w:hAnsi="Times New Roman" w:cs="Times New Roman"/>
          <w:sz w:val="28"/>
          <w:szCs w:val="24"/>
          <w:lang w:eastAsia="ru-RU"/>
        </w:rPr>
        <w:t>,</w:t>
      </w:r>
      <w:r w:rsidR="00633D0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для городских округов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, не являющихся ЗАТО. Тем не менее, это не так: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данный момент в России имеется один городской округ, не имеющий статус</w:t>
      </w:r>
      <w:r w:rsidR="00303C6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ЗАТО, в котором нет городских населенных пунктов – поселок Михайловский (Саратовская область). Этот парадокс объясняется тем, что до 2018 года </w:t>
      </w:r>
      <w:r w:rsidR="00633D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поселок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Михайловский </w:t>
      </w:r>
      <w:r w:rsidR="00633D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статус ЗАТО, но, в нарушение Закона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№ 131-ФЗ,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остался городским округом и после упразднения данного статуса</w:t>
      </w:r>
      <w:r>
        <w:rPr>
          <w:rStyle w:val="a5"/>
          <w:rFonts w:ascii="Times New Roman" w:eastAsia="Calibri" w:hAnsi="Times New Roman" w:cs="Times New Roman"/>
          <w:sz w:val="28"/>
          <w:szCs w:val="28"/>
          <w:lang w:eastAsia="ru-RU"/>
        </w:rPr>
        <w:footnoteReference w:id="8"/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EF2684" w:rsidRPr="004E3C7E" w:rsidRDefault="00EF2684" w:rsidP="00EF268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4E3C7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 xml:space="preserve">Доля городского населения </w:t>
      </w:r>
      <w:r w:rsidR="00813C81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от</w:t>
      </w:r>
      <w:r w:rsidRPr="004E3C7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 xml:space="preserve"> численности населения городского округа</w:t>
      </w:r>
    </w:p>
    <w:p w:rsidR="00EF2684" w:rsidRDefault="00EF2684" w:rsidP="00EF26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Как показали результаты расчетов, у 92 городских округов (</w:t>
      </w:r>
      <w:r w:rsidRPr="00B37604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6</w:t>
      </w:r>
      <w:r w:rsidRPr="00B37604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%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от их общего числа) доля городского населения составляет менее </w:t>
      </w:r>
      <w:r w:rsidR="008B3E2D">
        <w:rPr>
          <w:rFonts w:ascii="Times New Roman" w:eastAsia="Calibri" w:hAnsi="Times New Roman" w:cs="Times New Roman"/>
          <w:sz w:val="28"/>
          <w:szCs w:val="24"/>
          <w:lang w:eastAsia="ru-RU"/>
        </w:rPr>
        <w:t>2/3 (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66,6%</w:t>
      </w:r>
      <w:r w:rsidR="008B3E2D">
        <w:rPr>
          <w:rFonts w:ascii="Times New Roman" w:eastAsia="Calibri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от общей численности населения город</w:t>
      </w:r>
      <w:r w:rsidR="006641C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ского округа.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Среди них преобладают городские округа высокоурбанизированных Центрального, Приволжского и Уральского федеральных округов; в частности, широко представлены городские округа Московской области.</w:t>
      </w:r>
    </w:p>
    <w:p w:rsidR="00EF2684" w:rsidRPr="004E3C7E" w:rsidRDefault="00EF2684" w:rsidP="00EF268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</w:pPr>
      <w:r w:rsidRPr="004E3C7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Отношение плотности населения городского округа к средней плотности населения России</w:t>
      </w:r>
    </w:p>
    <w:p w:rsidR="00EF2684" w:rsidRDefault="00EF2684" w:rsidP="00EF26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Критерий отношения плотности населения к средней плотности населения России оказался чуть более «отсекающим», чем критерий доли городского населения. </w:t>
      </w:r>
      <w:r w:rsidR="00E74CCB">
        <w:rPr>
          <w:rFonts w:ascii="Times New Roman" w:eastAsia="Calibri" w:hAnsi="Times New Roman" w:cs="Times New Roman"/>
          <w:sz w:val="28"/>
          <w:szCs w:val="24"/>
          <w:lang w:eastAsia="ru-RU"/>
        </w:rPr>
        <w:t>Выявлено 154 г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ородских окру</w:t>
      </w:r>
      <w:r w:rsidR="00442855">
        <w:rPr>
          <w:rFonts w:ascii="Times New Roman" w:eastAsia="Calibri" w:hAnsi="Times New Roman" w:cs="Times New Roman"/>
          <w:sz w:val="28"/>
          <w:szCs w:val="24"/>
          <w:lang w:eastAsia="ru-RU"/>
        </w:rPr>
        <w:t>га</w:t>
      </w:r>
      <w:r w:rsidR="00E74CC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(</w:t>
      </w:r>
      <w:r w:rsidR="00E74CCB" w:rsidRPr="00B37604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26%</w:t>
      </w:r>
      <w:r w:rsidR="00E74CC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от общего числа</w:t>
      </w:r>
      <w:r w:rsidR="00E74CCB" w:rsidRPr="00CC791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E74CCB">
        <w:rPr>
          <w:rFonts w:ascii="Times New Roman" w:eastAsia="Calibri" w:hAnsi="Times New Roman" w:cs="Times New Roman"/>
          <w:sz w:val="28"/>
          <w:szCs w:val="24"/>
          <w:lang w:eastAsia="ru-RU"/>
        </w:rPr>
        <w:t>городских округов)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в которых </w:t>
      </w:r>
      <w:r w:rsidRPr="00DC1206">
        <w:rPr>
          <w:rFonts w:ascii="Times New Roman" w:eastAsia="Calibri" w:hAnsi="Times New Roman" w:cs="Times New Roman"/>
          <w:sz w:val="28"/>
          <w:szCs w:val="24"/>
          <w:lang w:eastAsia="ru-RU"/>
        </w:rPr>
        <w:t>плотност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ь</w:t>
      </w:r>
      <w:r w:rsidRPr="00DC120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аселения (с учетом округления) составляет менее 38 человек на кв. км (с учетом того, что средняя </w:t>
      </w:r>
      <w:r w:rsidRPr="00DC1206">
        <w:rPr>
          <w:rFonts w:ascii="Times New Roman" w:eastAsia="Calibri" w:hAnsi="Times New Roman" w:cs="Times New Roman"/>
          <w:sz w:val="28"/>
          <w:szCs w:val="24"/>
          <w:lang w:eastAsia="ru-RU"/>
        </w:rPr>
        <w:t>плотност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ь</w:t>
      </w:r>
      <w:r w:rsidRPr="00DC120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аселения Российской Федерации </w:t>
      </w:r>
      <w:r w:rsidR="0044285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данным Росстата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составляет 8,6 человек на кв. км). Среди них преобладают городские округа Дальневосточного и Северо-Западного федеральных округов, где редконаселенность сочетается с довольно крупной </w:t>
      </w:r>
      <w:r w:rsidR="00813C81">
        <w:rPr>
          <w:rFonts w:ascii="Times New Roman" w:eastAsia="Calibri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нарезкой</w:t>
      </w:r>
      <w:r w:rsidR="00813C81">
        <w:rPr>
          <w:rFonts w:ascii="Times New Roman" w:eastAsia="Calibri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муниципальных образований. В частности, из всех городских округов Магаданской и Сахалинской областей, Чукотского АО и Республики Коми этому условию соответствуют только городские округа на базе административных центров – Магадана, Южно-Сахалинска, Анадыря и Сыктывкара соответственно. Но «непроходные» по критерию</w:t>
      </w:r>
      <w:r w:rsidR="00813C8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плотности населения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городские округа имеются и за пределами</w:t>
      </w:r>
      <w:r w:rsidR="006641C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указанных федеральных округов</w:t>
      </w:r>
      <w:r w:rsidR="00813C81">
        <w:rPr>
          <w:rFonts w:ascii="Times New Roman" w:eastAsia="Calibri" w:hAnsi="Times New Roman" w:cs="Times New Roman"/>
          <w:sz w:val="28"/>
          <w:szCs w:val="24"/>
          <w:lang w:eastAsia="ru-RU"/>
        </w:rPr>
        <w:t>. Например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в Свердловской области, изначально пошедшей по пути формирования крупных по площади городских округов, доля таковых превышает 60%. </w:t>
      </w:r>
    </w:p>
    <w:p w:rsidR="00EF2684" w:rsidRPr="009C7B8C" w:rsidRDefault="00EF2684" w:rsidP="00EF268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</w:pPr>
      <w:r w:rsidRPr="009C7B8C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 xml:space="preserve">Доля площади территории городских населенных пунктов </w:t>
      </w:r>
      <w:r w:rsidR="00813C81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от</w:t>
      </w:r>
      <w:r w:rsidRPr="009C7B8C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 xml:space="preserve"> площади городского округа</w:t>
      </w:r>
    </w:p>
    <w:p w:rsidR="00EF2684" w:rsidRDefault="00EF2684" w:rsidP="00EF26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минимальной допустимой площади городских населенных пунктов степень несоответствия существующих городских округов установленному пороговому значению оказалась наиболее велика. По этому критерию не проходят </w:t>
      </w:r>
      <w:r w:rsidRPr="00971386">
        <w:rPr>
          <w:rFonts w:ascii="Times New Roman" w:eastAsia="Calibri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5</w:t>
      </w:r>
      <w:r w:rsidR="0013447D">
        <w:rPr>
          <w:rFonts w:ascii="Times New Roman" w:eastAsia="Calibri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городских</w:t>
      </w:r>
      <w:r w:rsidRPr="00B3760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округа (</w:t>
      </w:r>
      <w:r w:rsidRPr="00B37604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1</w:t>
      </w:r>
      <w:r w:rsidRPr="00B37604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%</w:t>
      </w:r>
      <w:r w:rsidR="00813C8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 w:rsidR="00813C81" w:rsidRPr="003E7E69">
        <w:rPr>
          <w:rFonts w:ascii="Times New Roman" w:eastAsia="Calibri" w:hAnsi="Times New Roman" w:cs="Times New Roman"/>
          <w:sz w:val="28"/>
          <w:szCs w:val="24"/>
          <w:lang w:eastAsia="ru-RU"/>
        </w:rPr>
        <w:t>от их общего числа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)</w:t>
      </w:r>
      <w:r>
        <w:rPr>
          <w:rStyle w:val="a5"/>
          <w:rFonts w:ascii="Times New Roman" w:eastAsia="Calibri" w:hAnsi="Times New Roman" w:cs="Times New Roman"/>
          <w:sz w:val="28"/>
          <w:szCs w:val="24"/>
          <w:lang w:eastAsia="ru-RU"/>
        </w:rPr>
        <w:footnoteReference w:id="9"/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; то есть в них </w:t>
      </w:r>
      <w:r w:rsidR="006641C3">
        <w:rPr>
          <w:rFonts w:ascii="Times New Roman" w:eastAsia="Calibri" w:hAnsi="Times New Roman" w:cs="Times New Roman"/>
          <w:sz w:val="28"/>
          <w:szCs w:val="24"/>
          <w:lang w:eastAsia="ru-RU"/>
        </w:rPr>
        <w:t>площадь городских населенных пунктов (города и поселки городского типа)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6641C3">
        <w:rPr>
          <w:rFonts w:ascii="Times New Roman" w:eastAsia="Calibri" w:hAnsi="Times New Roman" w:cs="Times New Roman"/>
          <w:sz w:val="28"/>
          <w:szCs w:val="24"/>
          <w:lang w:eastAsia="ru-RU"/>
        </w:rPr>
        <w:t>составляет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менее </w:t>
      </w:r>
      <w:r w:rsidR="0070728B">
        <w:rPr>
          <w:rFonts w:ascii="Times New Roman" w:eastAsia="Calibri" w:hAnsi="Times New Roman" w:cs="Times New Roman"/>
          <w:sz w:val="28"/>
          <w:szCs w:val="24"/>
          <w:lang w:eastAsia="ru-RU"/>
        </w:rPr>
        <w:t>1/3 (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33%</w:t>
      </w:r>
      <w:r w:rsidR="0070728B">
        <w:rPr>
          <w:rFonts w:ascii="Times New Roman" w:eastAsia="Calibri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площади муниципального образования. В данном случае каких-либо географических закономерностей не прослеживается: несоответствующие критерию городские округа с сопоставимой частотой встречаются во всех федеральных округах. </w:t>
      </w:r>
    </w:p>
    <w:p w:rsidR="007418C7" w:rsidRDefault="00442855" w:rsidP="00EF26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Всего</w:t>
      </w:r>
      <w:r w:rsidR="00EF268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6641C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более </w:t>
      </w:r>
      <w:r w:rsidR="00EF268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3/5 всех </w:t>
      </w:r>
      <w:r w:rsidR="009C5544">
        <w:rPr>
          <w:rFonts w:ascii="Times New Roman" w:eastAsia="Calibri" w:hAnsi="Times New Roman" w:cs="Times New Roman"/>
          <w:sz w:val="28"/>
          <w:szCs w:val="24"/>
          <w:lang w:eastAsia="ru-RU"/>
        </w:rPr>
        <w:t>существующих городских округов, не являющихся ЗАТО (355 городских округов</w:t>
      </w:r>
      <w:r w:rsidR="007418C7">
        <w:rPr>
          <w:rFonts w:ascii="Times New Roman" w:eastAsia="Calibri" w:hAnsi="Times New Roman" w:cs="Times New Roman"/>
          <w:sz w:val="28"/>
          <w:szCs w:val="24"/>
          <w:lang w:eastAsia="ru-RU"/>
        </w:rPr>
        <w:t>,</w:t>
      </w:r>
      <w:r w:rsidR="009C554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или 61% от их общего числа)</w:t>
      </w:r>
      <w:r w:rsidR="00EF268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должны будут утратить этот статус в случае принятия Законопроекта</w:t>
      </w:r>
      <w:r w:rsidR="00EF2684" w:rsidRPr="0001410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EF268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его текущей редакции. Из них около половины не </w:t>
      </w:r>
      <w:r w:rsidR="007418C7">
        <w:rPr>
          <w:rFonts w:ascii="Times New Roman" w:eastAsia="Calibri" w:hAnsi="Times New Roman" w:cs="Times New Roman"/>
          <w:sz w:val="28"/>
          <w:szCs w:val="24"/>
          <w:lang w:eastAsia="ru-RU"/>
        </w:rPr>
        <w:t>соответствуют</w:t>
      </w:r>
      <w:r w:rsidR="00EF268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более чем одному критерию. </w:t>
      </w:r>
      <w:r w:rsidR="004A069D">
        <w:rPr>
          <w:rFonts w:ascii="Times New Roman" w:eastAsia="Calibri" w:hAnsi="Times New Roman" w:cs="Times New Roman"/>
          <w:sz w:val="28"/>
          <w:szCs w:val="24"/>
          <w:lang w:eastAsia="ru-RU"/>
        </w:rPr>
        <w:t>Самы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й</w:t>
      </w:r>
      <w:r w:rsidR="004A069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существенны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й</w:t>
      </w:r>
      <w:r w:rsidR="004A069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критери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й</w:t>
      </w:r>
      <w:r w:rsidR="004A069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которому не соответствуют практически все такие городские округа – это критерий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минимальной допустимой </w:t>
      </w:r>
      <w:r w:rsidR="004A069D">
        <w:rPr>
          <w:rFonts w:ascii="Times New Roman" w:eastAsia="Calibri" w:hAnsi="Times New Roman" w:cs="Times New Roman"/>
          <w:sz w:val="28"/>
          <w:szCs w:val="24"/>
          <w:lang w:eastAsia="ru-RU"/>
        </w:rPr>
        <w:t>площади территории городских населенных пунктов</w:t>
      </w:r>
      <w:r w:rsidR="004A069D" w:rsidRPr="004A069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4A069D">
        <w:rPr>
          <w:rFonts w:ascii="Times New Roman" w:eastAsia="Calibri" w:hAnsi="Times New Roman" w:cs="Times New Roman"/>
          <w:sz w:val="28"/>
          <w:szCs w:val="24"/>
          <w:lang w:eastAsia="ru-RU"/>
        </w:rPr>
        <w:t>(только один городской округ</w:t>
      </w:r>
      <w:r w:rsidR="00B4656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–</w:t>
      </w:r>
      <w:r w:rsidR="00B4656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4A069D">
        <w:rPr>
          <w:rFonts w:ascii="Times New Roman" w:eastAsia="Calibri" w:hAnsi="Times New Roman" w:cs="Times New Roman"/>
          <w:sz w:val="28"/>
          <w:szCs w:val="24"/>
          <w:lang w:eastAsia="ru-RU"/>
        </w:rPr>
        <w:t>Протвино, Московская область</w:t>
      </w:r>
      <w:r w:rsidR="00B4656D">
        <w:rPr>
          <w:rFonts w:ascii="Times New Roman" w:eastAsia="Calibri" w:hAnsi="Times New Roman" w:cs="Times New Roman"/>
          <w:sz w:val="28"/>
          <w:szCs w:val="24"/>
          <w:lang w:eastAsia="ru-RU"/>
        </w:rPr>
        <w:t>,</w:t>
      </w:r>
      <w:r w:rsidR="004A069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B4656D">
        <w:rPr>
          <w:rFonts w:ascii="Times New Roman" w:eastAsia="Calibri" w:hAnsi="Times New Roman" w:cs="Times New Roman"/>
          <w:sz w:val="28"/>
          <w:szCs w:val="24"/>
          <w:lang w:eastAsia="ru-RU"/>
        </w:rPr>
        <w:t>соответствует критерию</w:t>
      </w:r>
      <w:r w:rsidR="004A069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площади городских населенных пунктов, </w:t>
      </w:r>
      <w:r w:rsidR="00B4656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но </w:t>
      </w:r>
      <w:r w:rsidR="004A069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не </w:t>
      </w:r>
      <w:r w:rsidR="00B4656D">
        <w:rPr>
          <w:rFonts w:ascii="Times New Roman" w:eastAsia="Calibri" w:hAnsi="Times New Roman" w:cs="Times New Roman"/>
          <w:sz w:val="28"/>
          <w:szCs w:val="24"/>
          <w:lang w:eastAsia="ru-RU"/>
        </w:rPr>
        <w:t>соответствует другим критериям</w:t>
      </w:r>
      <w:r w:rsidR="003E7E69">
        <w:rPr>
          <w:rFonts w:ascii="Times New Roman" w:eastAsia="Calibri" w:hAnsi="Times New Roman" w:cs="Times New Roman"/>
          <w:sz w:val="28"/>
          <w:szCs w:val="24"/>
          <w:lang w:eastAsia="ru-RU"/>
        </w:rPr>
        <w:t>)</w:t>
      </w:r>
      <w:r w:rsidR="004A069D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6641C3" w:rsidRDefault="00EF2684" w:rsidP="00EF26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Среди </w:t>
      </w:r>
      <w:r w:rsidR="00303C67">
        <w:rPr>
          <w:rFonts w:ascii="Times New Roman" w:eastAsia="Calibri" w:hAnsi="Times New Roman" w:cs="Times New Roman"/>
          <w:sz w:val="28"/>
          <w:szCs w:val="24"/>
          <w:lang w:eastAsia="ru-RU"/>
        </w:rPr>
        <w:t>«дисквалифицированных»</w:t>
      </w:r>
      <w:r w:rsidR="006641C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B4656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355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городских округов есть </w:t>
      </w:r>
      <w:r w:rsidR="008903F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1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город-милли</w:t>
      </w:r>
      <w:r w:rsidR="006641C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онник </w:t>
      </w:r>
      <w:r w:rsidR="008903F0">
        <w:rPr>
          <w:rFonts w:ascii="Times New Roman" w:eastAsia="Calibri" w:hAnsi="Times New Roman" w:cs="Times New Roman"/>
          <w:sz w:val="28"/>
          <w:szCs w:val="24"/>
          <w:lang w:eastAsia="ru-RU"/>
        </w:rPr>
        <w:t>(</w:t>
      </w:r>
      <w:r w:rsidR="006641C3">
        <w:rPr>
          <w:rFonts w:ascii="Times New Roman" w:eastAsia="Calibri" w:hAnsi="Times New Roman" w:cs="Times New Roman"/>
          <w:sz w:val="28"/>
          <w:szCs w:val="24"/>
          <w:lang w:eastAsia="ru-RU"/>
        </w:rPr>
        <w:t>Краснодар</w:t>
      </w:r>
      <w:r w:rsidR="008903F0">
        <w:rPr>
          <w:rFonts w:ascii="Times New Roman" w:eastAsia="Calibri" w:hAnsi="Times New Roman" w:cs="Times New Roman"/>
          <w:sz w:val="28"/>
          <w:szCs w:val="24"/>
          <w:lang w:eastAsia="ru-RU"/>
        </w:rPr>
        <w:t>)</w:t>
      </w:r>
      <w:r w:rsidR="006641C3">
        <w:rPr>
          <w:rFonts w:ascii="Times New Roman" w:eastAsia="Calibri" w:hAnsi="Times New Roman" w:cs="Times New Roman"/>
          <w:sz w:val="28"/>
          <w:szCs w:val="24"/>
          <w:lang w:eastAsia="ru-RU"/>
        </w:rPr>
        <w:t>, 21 крупный город с населе</w:t>
      </w:r>
      <w:r w:rsidR="008903F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нием от 250 тыс. до 1 млн чел. </w:t>
      </w:r>
      <w:r w:rsidR="006641C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и 50 больших </w:t>
      </w:r>
      <w:r w:rsidR="009C554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городов </w:t>
      </w:r>
      <w:r w:rsidR="006641C3">
        <w:rPr>
          <w:rFonts w:ascii="Times New Roman" w:eastAsia="Calibri" w:hAnsi="Times New Roman" w:cs="Times New Roman"/>
          <w:sz w:val="28"/>
          <w:szCs w:val="24"/>
          <w:lang w:eastAsia="ru-RU"/>
        </w:rPr>
        <w:t>с населением от 100 до 250 тыс. чел. Также следует отметить, что установленным критериям городского округа не соответству</w:t>
      </w:r>
      <w:r w:rsidR="00B4656D">
        <w:rPr>
          <w:rFonts w:ascii="Times New Roman" w:eastAsia="Calibri" w:hAnsi="Times New Roman" w:cs="Times New Roman"/>
          <w:sz w:val="28"/>
          <w:szCs w:val="24"/>
          <w:lang w:eastAsia="ru-RU"/>
        </w:rPr>
        <w:t>ю</w:t>
      </w:r>
      <w:r w:rsidR="006641C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т </w:t>
      </w:r>
      <w:r w:rsidR="00442855">
        <w:rPr>
          <w:rFonts w:ascii="Times New Roman" w:eastAsia="Calibri" w:hAnsi="Times New Roman" w:cs="Times New Roman"/>
          <w:sz w:val="28"/>
          <w:szCs w:val="24"/>
          <w:lang w:eastAsia="ru-RU"/>
        </w:rPr>
        <w:t>17</w:t>
      </w:r>
      <w:r w:rsidR="006641C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городских округов, созданных на базе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6641C3">
        <w:rPr>
          <w:rFonts w:ascii="Times New Roman" w:eastAsia="Calibri" w:hAnsi="Times New Roman" w:cs="Times New Roman"/>
          <w:sz w:val="28"/>
          <w:szCs w:val="24"/>
          <w:lang w:eastAsia="ru-RU"/>
        </w:rPr>
        <w:t>административных центров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субъектов Российской Федерации (Калуга,</w:t>
      </w:r>
      <w:r w:rsidR="001624F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Тула,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55228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Владимир,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Мурманск, </w:t>
      </w:r>
      <w:r w:rsidR="0055228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Сыктывкар, </w:t>
      </w:r>
      <w:r w:rsidR="006641C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Краснодар, </w:t>
      </w:r>
      <w:r w:rsidR="0044285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Элиста, Майкоп,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Владикавказ, Махачкала, Саранск, Киров, Кызыл, Владивосток, Благовещенск, </w:t>
      </w:r>
      <w:r w:rsidR="0013447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Якутск,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Южно-Сахалинск). </w:t>
      </w:r>
    </w:p>
    <w:p w:rsidR="00EF2684" w:rsidRDefault="00EF2684" w:rsidP="00EF26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Полный</w:t>
      </w:r>
      <w:r w:rsidR="006641C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перечень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городских округов</w:t>
      </w:r>
      <w:r w:rsidR="006641C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не соответствующих устанавливаемым </w:t>
      </w:r>
      <w:r w:rsidR="00B4656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Законопроектом </w:t>
      </w:r>
      <w:r w:rsidR="006641C3">
        <w:rPr>
          <w:rFonts w:ascii="Times New Roman" w:eastAsia="Calibri" w:hAnsi="Times New Roman" w:cs="Times New Roman"/>
          <w:sz w:val="28"/>
          <w:szCs w:val="24"/>
          <w:lang w:eastAsia="ru-RU"/>
        </w:rPr>
        <w:t>критериям городского округа,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приведен в Приложении. </w:t>
      </w:r>
    </w:p>
    <w:p w:rsidR="005F3BBF" w:rsidRDefault="00EF2684" w:rsidP="00EF26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Необходимо подчеркнуть, что в текущей редакции Законопроекта, как и в действующей редакции Закона № 131-ФЗ, набор вопросов местного значения (в терминологии Законопроекта – «п</w:t>
      </w:r>
      <w:r w:rsidRPr="002A37F3">
        <w:rPr>
          <w:rFonts w:ascii="Times New Roman" w:eastAsia="Calibri" w:hAnsi="Times New Roman" w:cs="Times New Roman"/>
          <w:sz w:val="28"/>
          <w:szCs w:val="24"/>
          <w:lang w:eastAsia="ru-RU"/>
        </w:rPr>
        <w:t>олномочи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й</w:t>
      </w:r>
      <w:r w:rsidRPr="002A37F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органов местного самоуправления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2A37F3">
        <w:rPr>
          <w:rFonts w:ascii="Times New Roman" w:eastAsia="Calibri" w:hAnsi="Times New Roman" w:cs="Times New Roman"/>
          <w:sz w:val="28"/>
          <w:szCs w:val="24"/>
          <w:lang w:eastAsia="ru-RU"/>
        </w:rPr>
        <w:t>по решению вопросов непосредственного обеспечения жизнедеятельности населения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») у городского и муниципального округа идентичен</w:t>
      </w:r>
      <w:r w:rsidR="00BA29B5">
        <w:rPr>
          <w:rFonts w:ascii="Times New Roman" w:eastAsia="Calibri" w:hAnsi="Times New Roman" w:cs="Times New Roman"/>
          <w:sz w:val="28"/>
          <w:szCs w:val="24"/>
          <w:lang w:eastAsia="ru-RU"/>
        </w:rPr>
        <w:t>,</w:t>
      </w:r>
      <w:r w:rsidR="00BA29B5" w:rsidRPr="00BA29B5">
        <w:t xml:space="preserve"> </w:t>
      </w:r>
      <w:r w:rsidR="00BA29B5" w:rsidRPr="00BA29B5">
        <w:rPr>
          <w:rFonts w:ascii="Times New Roman" w:eastAsia="Calibri" w:hAnsi="Times New Roman" w:cs="Times New Roman"/>
          <w:sz w:val="28"/>
          <w:szCs w:val="24"/>
          <w:lang w:eastAsia="ru-RU"/>
        </w:rPr>
        <w:t>в связи чем возникает вопрос о содержательных основаниях выделения указанных двух видов муниципальных образований</w:t>
      </w:r>
      <w:r w:rsidR="00BA29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как таковых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</w:t>
      </w:r>
      <w:r w:rsidR="005F3BB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Однако весьма вероятно, что </w:t>
      </w:r>
      <w:r w:rsidR="00BA29B5">
        <w:rPr>
          <w:rFonts w:ascii="Times New Roman" w:eastAsia="Calibri" w:hAnsi="Times New Roman" w:cs="Times New Roman"/>
          <w:sz w:val="28"/>
          <w:szCs w:val="24"/>
          <w:lang w:eastAsia="ru-RU"/>
        </w:rPr>
        <w:t>при формировании перечня вводимых Законопроектом т</w:t>
      </w:r>
      <w:r w:rsidR="00F4540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ак </w:t>
      </w:r>
      <w:r w:rsidR="00BA29B5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F45404">
        <w:rPr>
          <w:rFonts w:ascii="Times New Roman" w:eastAsia="Calibri" w:hAnsi="Times New Roman" w:cs="Times New Roman"/>
          <w:sz w:val="28"/>
          <w:szCs w:val="24"/>
          <w:lang w:eastAsia="ru-RU"/>
        </w:rPr>
        <w:t>азываемых</w:t>
      </w:r>
      <w:r w:rsidR="00BA29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перераспределяемых полномочий, закрепляемых</w:t>
      </w:r>
      <w:r w:rsidR="00BA29B5" w:rsidRPr="00BA29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за органами местного самоуправления законом субъекта Российской Федерации</w:t>
      </w:r>
      <w:r w:rsidR="00BA29B5">
        <w:rPr>
          <w:rFonts w:ascii="Times New Roman" w:eastAsia="Calibri" w:hAnsi="Times New Roman" w:cs="Times New Roman"/>
          <w:sz w:val="28"/>
          <w:szCs w:val="24"/>
          <w:lang w:eastAsia="ru-RU"/>
        </w:rPr>
        <w:t>, регионы будут дифференцировать такие полномочия в зависимости от статуса муниципального образования</w:t>
      </w:r>
      <w:r w:rsidR="00BA29B5">
        <w:rPr>
          <w:rStyle w:val="a5"/>
          <w:rFonts w:ascii="Times New Roman" w:eastAsia="Calibri" w:hAnsi="Times New Roman" w:cs="Times New Roman"/>
          <w:sz w:val="28"/>
          <w:szCs w:val="24"/>
          <w:lang w:eastAsia="ru-RU"/>
        </w:rPr>
        <w:footnoteReference w:id="10"/>
      </w:r>
      <w:r w:rsidR="00BA29B5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r w:rsidR="00BA29B5" w:rsidRPr="00BA29B5">
        <w:rPr>
          <w:rFonts w:ascii="Times New Roman" w:eastAsia="Calibri" w:hAnsi="Times New Roman" w:cs="Times New Roman"/>
          <w:sz w:val="28"/>
          <w:szCs w:val="24"/>
          <w:highlight w:val="yellow"/>
          <w:lang w:eastAsia="ru-RU"/>
        </w:rPr>
        <w:t xml:space="preserve"> </w:t>
      </w:r>
    </w:p>
    <w:p w:rsidR="00EF2684" w:rsidRDefault="00F45404" w:rsidP="00EF26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В</w:t>
      </w:r>
      <w:r w:rsidR="00EF268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процессе экспертного обсуждения Законопроекта </w:t>
      </w:r>
      <w:r w:rsidR="005F3BBF">
        <w:rPr>
          <w:rFonts w:ascii="Times New Roman" w:eastAsia="Calibri" w:hAnsi="Times New Roman" w:cs="Times New Roman"/>
          <w:sz w:val="28"/>
          <w:szCs w:val="24"/>
          <w:lang w:eastAsia="ru-RU"/>
        </w:rPr>
        <w:t>выдвигаю</w:t>
      </w:r>
      <w:r w:rsidR="00EF2684">
        <w:rPr>
          <w:rFonts w:ascii="Times New Roman" w:eastAsia="Calibri" w:hAnsi="Times New Roman" w:cs="Times New Roman"/>
          <w:sz w:val="28"/>
          <w:szCs w:val="24"/>
          <w:lang w:eastAsia="ru-RU"/>
        </w:rPr>
        <w:t>тся предложени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я</w:t>
      </w:r>
      <w:r w:rsidR="00EF268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 целесообразности установления для этих двух видов муниципальных образований разного набора полномочий (для городских округов – более широкого, чем для муниципальных). Если это предложение будет принято, то смена статуса с городского округа на муниципальный окажется для муниципальных образований </w:t>
      </w:r>
      <w:r w:rsidR="00BA29B5">
        <w:rPr>
          <w:rFonts w:ascii="Times New Roman" w:eastAsia="Calibri" w:hAnsi="Times New Roman" w:cs="Times New Roman"/>
          <w:sz w:val="28"/>
          <w:szCs w:val="24"/>
          <w:lang w:eastAsia="ru-RU"/>
        </w:rPr>
        <w:t>еще более</w:t>
      </w:r>
      <w:r w:rsidR="0044285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критичной</w:t>
      </w:r>
      <w:r w:rsidR="00EF268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</w:t>
      </w:r>
    </w:p>
    <w:p w:rsidR="00EF2684" w:rsidRDefault="00EF2684" w:rsidP="00EF26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Возможный путь избежать </w:t>
      </w:r>
      <w:r w:rsidR="00E85598">
        <w:rPr>
          <w:rFonts w:ascii="Times New Roman" w:eastAsia="Calibri" w:hAnsi="Times New Roman" w:cs="Times New Roman"/>
          <w:sz w:val="28"/>
          <w:szCs w:val="24"/>
          <w:lang w:eastAsia="ru-RU"/>
        </w:rPr>
        <w:t>изменения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статуса</w:t>
      </w:r>
      <w:r w:rsidR="00F4540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городского округа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– изменение границ муниципальных образований либо населенных пунктов в их пределах в целях подгонки под нужные значения </w:t>
      </w:r>
      <w:r w:rsidR="00E85598">
        <w:rPr>
          <w:rFonts w:ascii="Times New Roman" w:eastAsia="Calibri" w:hAnsi="Times New Roman" w:cs="Times New Roman"/>
          <w:sz w:val="28"/>
          <w:szCs w:val="24"/>
          <w:lang w:eastAsia="ru-RU"/>
        </w:rPr>
        <w:t>критериев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(своего рода муниципальный «джерримэндеринг»</w:t>
      </w:r>
      <w:r>
        <w:rPr>
          <w:rStyle w:val="a5"/>
          <w:rFonts w:ascii="Times New Roman" w:eastAsia="Calibri" w:hAnsi="Times New Roman" w:cs="Times New Roman"/>
          <w:sz w:val="28"/>
          <w:szCs w:val="24"/>
          <w:lang w:eastAsia="ru-RU"/>
        </w:rPr>
        <w:footnoteReference w:id="11"/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). Перспектива подобного территориального передела содержит в себе высокий конфликтный потенциал. Кроме того, нужно иметь в виду, что подобные изменения в конечном счет</w:t>
      </w:r>
      <w:r w:rsidR="008168DE">
        <w:rPr>
          <w:rFonts w:ascii="Times New Roman" w:eastAsia="Calibri" w:hAnsi="Times New Roman" w:cs="Times New Roman"/>
          <w:sz w:val="28"/>
          <w:szCs w:val="24"/>
          <w:lang w:eastAsia="ru-RU"/>
        </w:rPr>
        <w:t>е будут осуществляться по инициативе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субъекта Российской Федерации, и взгляды </w:t>
      </w:r>
      <w:r w:rsidR="00E8559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 этого уровня публично-правового образования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на оптимальную территориальную организацию местного самоуправления могут не совпадать с позицией </w:t>
      </w:r>
      <w:r w:rsidR="00E8559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самих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муниципальных образований. </w:t>
      </w:r>
    </w:p>
    <w:p w:rsidR="00442855" w:rsidRDefault="00442855" w:rsidP="00EF26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F2684" w:rsidRDefault="00EF2684" w:rsidP="00BA77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2684" w:rsidRDefault="00EF2684" w:rsidP="00BA77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F2684" w:rsidSect="00EF26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2684" w:rsidRPr="00EF2684" w:rsidRDefault="00EF2684" w:rsidP="00EF2684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26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</w:t>
      </w:r>
    </w:p>
    <w:p w:rsidR="00EF2684" w:rsidRPr="00EF2684" w:rsidRDefault="00EF2684" w:rsidP="00BA77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26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городских округов, не соответствующи</w:t>
      </w:r>
      <w:r w:rsidR="002604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</w:t>
      </w:r>
      <w:r w:rsidRPr="00EF26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одному или нескольким критериям присвоения статуса городского округа </w:t>
      </w:r>
      <w:r w:rsidR="002604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согласно Законопроекту</w:t>
      </w:r>
    </w:p>
    <w:p w:rsidR="00EF2684" w:rsidRDefault="00EF2684" w:rsidP="00BA77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f2"/>
        <w:tblW w:w="15304" w:type="dxa"/>
        <w:jc w:val="center"/>
        <w:tblLook w:val="04A0" w:firstRow="1" w:lastRow="0" w:firstColumn="1" w:lastColumn="0" w:noHBand="0" w:noVBand="1"/>
      </w:tblPr>
      <w:tblGrid>
        <w:gridCol w:w="846"/>
        <w:gridCol w:w="3827"/>
        <w:gridCol w:w="4536"/>
        <w:gridCol w:w="1701"/>
        <w:gridCol w:w="1485"/>
        <w:gridCol w:w="2909"/>
      </w:tblGrid>
      <w:tr w:rsidR="009C7B8C" w:rsidRPr="006641C3" w:rsidTr="00EB0C77">
        <w:trPr>
          <w:tblHeader/>
          <w:jc w:val="center"/>
        </w:trPr>
        <w:tc>
          <w:tcPr>
            <w:tcW w:w="846" w:type="dxa"/>
            <w:vMerge w:val="restart"/>
          </w:tcPr>
          <w:p w:rsidR="009C7B8C" w:rsidRPr="006641C3" w:rsidRDefault="009C7B8C" w:rsidP="00816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</w:p>
        </w:tc>
        <w:tc>
          <w:tcPr>
            <w:tcW w:w="4536" w:type="dxa"/>
            <w:vMerge w:val="restart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6095" w:type="dxa"/>
            <w:gridSpan w:val="3"/>
          </w:tcPr>
          <w:p w:rsidR="009C7B8C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 несоответствия статусу</w:t>
            </w:r>
            <w:r w:rsidR="002604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26048C" w:rsidRPr="006641C3" w:rsidRDefault="002604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(+ означает, что городской округ не соответствует критерию)</w:t>
            </w:r>
          </w:p>
        </w:tc>
      </w:tr>
      <w:tr w:rsidR="009C7B8C" w:rsidRPr="006641C3" w:rsidTr="00EB0C77">
        <w:trPr>
          <w:tblHeader/>
          <w:jc w:val="center"/>
        </w:trPr>
        <w:tc>
          <w:tcPr>
            <w:tcW w:w="846" w:type="dxa"/>
            <w:vMerge/>
          </w:tcPr>
          <w:p w:rsidR="009C7B8C" w:rsidRPr="006641C3" w:rsidRDefault="009C7B8C" w:rsidP="00816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9C7B8C" w:rsidRPr="006641C3" w:rsidRDefault="009C7B8C" w:rsidP="00816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9C7B8C" w:rsidRPr="006641C3" w:rsidRDefault="009C7B8C" w:rsidP="00816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городского населения</w:t>
            </w: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Плотность населения</w:t>
            </w: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городских населенных пунктов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Алексеевский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Белгородская область 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Валуйский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Белгородская область 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Грайворонский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Белгородская область 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Губкинский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Белгородская область 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Новооскольский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Белгородская область 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Старооскольский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Белгородская область 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Шебекинский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Белгородская область 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Яковлевский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Белгородская область 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Новозыбковский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Сельцо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Борисоглебский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Нововоронеж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Калуга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Волгореченск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Мантурово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Железногорск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Курчатов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Богородский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Волоколамский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Воскресенск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Дмитровский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Домодедово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Егорьевск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Зарайск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Истринский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Кашира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Клинский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Коломенский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Красноармейск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Красногорский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Лосино-Петровский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Лотошино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Луховицкий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Можайский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Наро-Фоминский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Одинцовский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Озёры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Орехово-Зуевский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Павловский Посад 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Подольск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Протвино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Раменский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Рузский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Сергиево-Посадский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Серебряные Пруды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Серпухов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Солнечногорский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Ступинский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Талдомский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Черноголовка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Чехов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Шатура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Шаховская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Щёлково</w:t>
            </w:r>
          </w:p>
        </w:tc>
        <w:tc>
          <w:tcPr>
            <w:tcW w:w="4536" w:type="dxa"/>
          </w:tcPr>
          <w:p w:rsidR="009C7B8C" w:rsidRPr="006641C3" w:rsidRDefault="009C7B8C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C7B8C" w:rsidRPr="006641C3" w:rsidTr="00EB0C77">
        <w:trPr>
          <w:jc w:val="center"/>
        </w:trPr>
        <w:tc>
          <w:tcPr>
            <w:tcW w:w="846" w:type="dxa"/>
          </w:tcPr>
          <w:p w:rsidR="009C7B8C" w:rsidRPr="006641C3" w:rsidRDefault="009C7B8C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7B8C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Десногорск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701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9C7B8C" w:rsidRPr="006641C3" w:rsidRDefault="009C7B8C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9C7B8C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Вышневолоцкий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Кашинский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Нелидовский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Осташковский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Удомельский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Донской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Новогуровский.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Новомосковск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Славный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Коряжма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Новая Земля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Северодвинск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Балтийский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Гусевский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Ладушкинский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Мамоновский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Светловский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Янтарный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Костомукшский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Воркута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Вуктыл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Инта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Ухта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Сосновоборский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Апатиты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Кировск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Ковдорский район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Мончегорск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Мурманск 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Оленегорск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Полярные Зори</w:t>
            </w:r>
          </w:p>
        </w:tc>
        <w:tc>
          <w:tcPr>
            <w:tcW w:w="4536" w:type="dxa"/>
          </w:tcPr>
          <w:p w:rsidR="001624FB" w:rsidRPr="006641C3" w:rsidRDefault="001624F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24FB" w:rsidRPr="006641C3" w:rsidTr="00EB0C77">
        <w:trPr>
          <w:jc w:val="center"/>
        </w:trPr>
        <w:tc>
          <w:tcPr>
            <w:tcW w:w="846" w:type="dxa"/>
          </w:tcPr>
          <w:p w:rsidR="001624FB" w:rsidRPr="006641C3" w:rsidRDefault="001624F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624FB" w:rsidRPr="006641C3" w:rsidRDefault="00552288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Адыгейск</w:t>
            </w:r>
          </w:p>
        </w:tc>
        <w:tc>
          <w:tcPr>
            <w:tcW w:w="4536" w:type="dxa"/>
          </w:tcPr>
          <w:p w:rsidR="001624FB" w:rsidRPr="006641C3" w:rsidRDefault="00552288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701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624FB" w:rsidRPr="006641C3" w:rsidRDefault="001624F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624FB" w:rsidRPr="006641C3" w:rsidRDefault="00552288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52288" w:rsidRPr="006641C3" w:rsidTr="00EB0C77">
        <w:trPr>
          <w:jc w:val="center"/>
        </w:trPr>
        <w:tc>
          <w:tcPr>
            <w:tcW w:w="846" w:type="dxa"/>
          </w:tcPr>
          <w:p w:rsidR="00552288" w:rsidRPr="006641C3" w:rsidRDefault="00552288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52288" w:rsidRPr="006641C3" w:rsidRDefault="00552288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Майкоп</w:t>
            </w:r>
          </w:p>
        </w:tc>
        <w:tc>
          <w:tcPr>
            <w:tcW w:w="4536" w:type="dxa"/>
          </w:tcPr>
          <w:p w:rsidR="00552288" w:rsidRPr="006641C3" w:rsidRDefault="00552288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701" w:type="dxa"/>
          </w:tcPr>
          <w:p w:rsidR="00552288" w:rsidRPr="006641C3" w:rsidRDefault="00552288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52288" w:rsidRPr="006641C3" w:rsidRDefault="00552288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552288" w:rsidRPr="006641C3" w:rsidRDefault="00552288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52288" w:rsidRPr="006641C3" w:rsidTr="00EB0C77">
        <w:trPr>
          <w:jc w:val="center"/>
        </w:trPr>
        <w:tc>
          <w:tcPr>
            <w:tcW w:w="846" w:type="dxa"/>
          </w:tcPr>
          <w:p w:rsidR="00552288" w:rsidRPr="006641C3" w:rsidRDefault="00552288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52288" w:rsidRPr="006641C3" w:rsidRDefault="00552288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4536" w:type="dxa"/>
          </w:tcPr>
          <w:p w:rsidR="00552288" w:rsidRPr="006641C3" w:rsidRDefault="00552288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701" w:type="dxa"/>
          </w:tcPr>
          <w:p w:rsidR="00552288" w:rsidRPr="006641C3" w:rsidRDefault="00552288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52288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52288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52288" w:rsidRPr="006641C3" w:rsidTr="00EB0C77">
        <w:trPr>
          <w:jc w:val="center"/>
        </w:trPr>
        <w:tc>
          <w:tcPr>
            <w:tcW w:w="846" w:type="dxa"/>
          </w:tcPr>
          <w:p w:rsidR="00552288" w:rsidRPr="006641C3" w:rsidRDefault="00552288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52288" w:rsidRPr="006641C3" w:rsidRDefault="00552288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Фролово</w:t>
            </w:r>
          </w:p>
        </w:tc>
        <w:tc>
          <w:tcPr>
            <w:tcW w:w="4536" w:type="dxa"/>
          </w:tcPr>
          <w:p w:rsidR="00552288" w:rsidRPr="006641C3" w:rsidRDefault="00552288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701" w:type="dxa"/>
          </w:tcPr>
          <w:p w:rsidR="00552288" w:rsidRPr="006641C3" w:rsidRDefault="00552288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52288" w:rsidRPr="006641C3" w:rsidRDefault="00552288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552288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52288" w:rsidRPr="006641C3" w:rsidTr="00EB0C77">
        <w:trPr>
          <w:jc w:val="center"/>
        </w:trPr>
        <w:tc>
          <w:tcPr>
            <w:tcW w:w="846" w:type="dxa"/>
          </w:tcPr>
          <w:p w:rsidR="00552288" w:rsidRPr="006641C3" w:rsidRDefault="00552288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52288" w:rsidRPr="006641C3" w:rsidRDefault="00552288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Элистинский</w:t>
            </w:r>
          </w:p>
        </w:tc>
        <w:tc>
          <w:tcPr>
            <w:tcW w:w="4536" w:type="dxa"/>
          </w:tcPr>
          <w:p w:rsidR="00552288" w:rsidRPr="006641C3" w:rsidRDefault="00552288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701" w:type="dxa"/>
          </w:tcPr>
          <w:p w:rsidR="00552288" w:rsidRPr="006641C3" w:rsidRDefault="00552288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52288" w:rsidRPr="006641C3" w:rsidRDefault="00552288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552288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Зверево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Каменск-Шахтинский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Алушта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Армянск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Красноперекопск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Саки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Судак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Феодосия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Махачкала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Южно-Сухокумск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Карабулак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Малгобек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Сунжа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Баксан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Владикавказ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Северная Осетия — Алания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Благодарненский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Георгиевский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Изобильненский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Ипатовский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Кисловодск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Аргун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Агидель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Кумертау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Нефтекамск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Сибай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Слободской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Саранск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Воротынский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Выкса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Дзержинск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Кулебаки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Навашинский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Первомайск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Перевозский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Семёновский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Сокольский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Чкаловск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Шахунья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Абдулинский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Бугуруслан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Гайский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Кувандыкский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Медногорск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Новотроицк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Орск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Соль-Илецкий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701" w:type="dxa"/>
          </w:tcPr>
          <w:p w:rsidR="00EB0C77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EB0C77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Сорочинский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B0C77" w:rsidRPr="006641C3" w:rsidTr="00EB0C77">
        <w:trPr>
          <w:jc w:val="center"/>
        </w:trPr>
        <w:tc>
          <w:tcPr>
            <w:tcW w:w="846" w:type="dxa"/>
          </w:tcPr>
          <w:p w:rsidR="00EB0C77" w:rsidRPr="006641C3" w:rsidRDefault="00EB0C77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Ясненский</w:t>
            </w:r>
          </w:p>
        </w:tc>
        <w:tc>
          <w:tcPr>
            <w:tcW w:w="4536" w:type="dxa"/>
          </w:tcPr>
          <w:p w:rsidR="00EB0C77" w:rsidRPr="006641C3" w:rsidRDefault="00EB0C77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701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B0C77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EB0C77" w:rsidRPr="006641C3" w:rsidRDefault="00EB0C77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500F6B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Березники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500F6B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Верещагинский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500F6B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Горнозаводский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500F6B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Гремячинский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500F6B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Губахинский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500F6B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Добрянский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500F6B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Ильинский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500F6B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Кизеловский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500F6B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Красновишерский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500F6B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Краснокамский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500F6B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Лысьвенский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500F6B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Нытвенский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500F6B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500F6B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Осинский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500F6B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Оханский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500F6B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Очёрский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500F6B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Соликамский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500F6B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Суксунский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500F6B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500F6B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Чердынский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500F6B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Чернушинский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500F6B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Чусовской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500F6B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Похвистнево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500F6B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Михайловский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500F6B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500F6B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Новоульяновск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500F6B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Шадринск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Алапаевск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Алапаевское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500F6B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Артёмовский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500F6B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Артинский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500F6B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Асбестовский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Ачитский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500F6B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Белоярский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500F6B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Берёзовский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Бисертский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Богданович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500F6B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Верхнее Дуброво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Верх-Нейвинский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Верхнесалдинский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Верхний Тагил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Верхняя Тура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Верхотурский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500F6B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Волчанский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Гаринский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500F6B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Горноуральский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500F6B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Дегтярск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Заречный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Ивдельский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Ирбитский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Ирбитское 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500F6B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Каменский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500F6B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Камышловский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Карпинск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Качканарский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Кировградский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Красноуральск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Красноуфимск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Красноуфимский округ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500F6B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Кушвинский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Малышевский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Махнёвское 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500F6B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Невьянский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500F6B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Нижнетуринский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F6B" w:rsidRPr="006641C3" w:rsidTr="00E16BB0">
        <w:trPr>
          <w:jc w:val="center"/>
        </w:trPr>
        <w:tc>
          <w:tcPr>
            <w:tcW w:w="846" w:type="dxa"/>
          </w:tcPr>
          <w:p w:rsidR="00500F6B" w:rsidRPr="006641C3" w:rsidRDefault="00500F6B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Нижний Тагил</w:t>
            </w:r>
          </w:p>
        </w:tc>
        <w:tc>
          <w:tcPr>
            <w:tcW w:w="4536" w:type="dxa"/>
          </w:tcPr>
          <w:p w:rsidR="00500F6B" w:rsidRPr="006641C3" w:rsidRDefault="00500F6B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500F6B" w:rsidRPr="006641C3" w:rsidRDefault="00500F6B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16BB0" w:rsidRPr="006641C3" w:rsidTr="00E16BB0">
        <w:trPr>
          <w:jc w:val="center"/>
        </w:trPr>
        <w:tc>
          <w:tcPr>
            <w:tcW w:w="846" w:type="dxa"/>
          </w:tcPr>
          <w:p w:rsidR="00E16BB0" w:rsidRPr="006641C3" w:rsidRDefault="00E16BB0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16BB0" w:rsidRPr="006641C3" w:rsidRDefault="00E16BB0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Нижняя Салда</w:t>
            </w:r>
          </w:p>
        </w:tc>
        <w:tc>
          <w:tcPr>
            <w:tcW w:w="4536" w:type="dxa"/>
          </w:tcPr>
          <w:p w:rsidR="00E16BB0" w:rsidRPr="006641C3" w:rsidRDefault="00E16BB0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E16BB0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16BB0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E16BB0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16BB0" w:rsidRPr="006641C3" w:rsidTr="00E16BB0">
        <w:trPr>
          <w:jc w:val="center"/>
        </w:trPr>
        <w:tc>
          <w:tcPr>
            <w:tcW w:w="846" w:type="dxa"/>
          </w:tcPr>
          <w:p w:rsidR="00E16BB0" w:rsidRPr="006641C3" w:rsidRDefault="00E16BB0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16BB0" w:rsidRPr="006641C3" w:rsidRDefault="00E16BB0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Новолялинский</w:t>
            </w:r>
          </w:p>
        </w:tc>
        <w:tc>
          <w:tcPr>
            <w:tcW w:w="4536" w:type="dxa"/>
          </w:tcPr>
          <w:p w:rsidR="00E16BB0" w:rsidRPr="006641C3" w:rsidRDefault="00E16BB0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E16BB0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E16BB0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E16BB0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16BB0" w:rsidRPr="006641C3" w:rsidTr="00E16BB0">
        <w:trPr>
          <w:jc w:val="center"/>
        </w:trPr>
        <w:tc>
          <w:tcPr>
            <w:tcW w:w="846" w:type="dxa"/>
          </w:tcPr>
          <w:p w:rsidR="00E16BB0" w:rsidRPr="006641C3" w:rsidRDefault="00E16BB0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16BB0" w:rsidRPr="006641C3" w:rsidRDefault="00E16BB0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Пелым</w:t>
            </w:r>
          </w:p>
        </w:tc>
        <w:tc>
          <w:tcPr>
            <w:tcW w:w="4536" w:type="dxa"/>
          </w:tcPr>
          <w:p w:rsidR="00E16BB0" w:rsidRPr="006641C3" w:rsidRDefault="00E16BB0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E16BB0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16BB0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E16BB0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16BB0" w:rsidRPr="006641C3" w:rsidTr="00E16BB0">
        <w:trPr>
          <w:jc w:val="center"/>
        </w:trPr>
        <w:tc>
          <w:tcPr>
            <w:tcW w:w="846" w:type="dxa"/>
          </w:tcPr>
          <w:p w:rsidR="00E16BB0" w:rsidRPr="006641C3" w:rsidRDefault="00E16BB0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16BB0" w:rsidRPr="006641C3" w:rsidRDefault="00E16BB0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Первоуральск</w:t>
            </w:r>
          </w:p>
        </w:tc>
        <w:tc>
          <w:tcPr>
            <w:tcW w:w="4536" w:type="dxa"/>
          </w:tcPr>
          <w:p w:rsidR="00E16BB0" w:rsidRPr="006641C3" w:rsidRDefault="00E16BB0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E16BB0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16BB0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16BB0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16BB0" w:rsidRPr="006641C3" w:rsidTr="00E16BB0">
        <w:trPr>
          <w:jc w:val="center"/>
        </w:trPr>
        <w:tc>
          <w:tcPr>
            <w:tcW w:w="846" w:type="dxa"/>
          </w:tcPr>
          <w:p w:rsidR="00E16BB0" w:rsidRPr="006641C3" w:rsidRDefault="00E16BB0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16BB0" w:rsidRPr="006641C3" w:rsidRDefault="00E16BB0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Полевской</w:t>
            </w:r>
          </w:p>
        </w:tc>
        <w:tc>
          <w:tcPr>
            <w:tcW w:w="4536" w:type="dxa"/>
          </w:tcPr>
          <w:p w:rsidR="00E16BB0" w:rsidRPr="006641C3" w:rsidRDefault="00E16BB0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E16BB0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16BB0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16BB0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16BB0" w:rsidRPr="006641C3" w:rsidTr="00E16BB0">
        <w:trPr>
          <w:jc w:val="center"/>
        </w:trPr>
        <w:tc>
          <w:tcPr>
            <w:tcW w:w="846" w:type="dxa"/>
          </w:tcPr>
          <w:p w:rsidR="00E16BB0" w:rsidRPr="006641C3" w:rsidRDefault="00E16BB0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16BB0" w:rsidRPr="006641C3" w:rsidRDefault="00E16BB0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Пышминский</w:t>
            </w:r>
          </w:p>
        </w:tc>
        <w:tc>
          <w:tcPr>
            <w:tcW w:w="4536" w:type="dxa"/>
          </w:tcPr>
          <w:p w:rsidR="00E16BB0" w:rsidRPr="006641C3" w:rsidRDefault="00E16BB0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E16BB0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E16BB0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E16BB0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16BB0" w:rsidRPr="006641C3" w:rsidTr="00E16BB0">
        <w:trPr>
          <w:jc w:val="center"/>
        </w:trPr>
        <w:tc>
          <w:tcPr>
            <w:tcW w:w="846" w:type="dxa"/>
          </w:tcPr>
          <w:p w:rsidR="00E16BB0" w:rsidRPr="006641C3" w:rsidRDefault="00E16BB0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16BB0" w:rsidRPr="006641C3" w:rsidRDefault="00E16BB0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Ревда</w:t>
            </w:r>
          </w:p>
        </w:tc>
        <w:tc>
          <w:tcPr>
            <w:tcW w:w="4536" w:type="dxa"/>
          </w:tcPr>
          <w:p w:rsidR="00E16BB0" w:rsidRPr="006641C3" w:rsidRDefault="00E16BB0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E16BB0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16BB0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16BB0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16BB0" w:rsidRPr="006641C3" w:rsidTr="00E16BB0">
        <w:trPr>
          <w:jc w:val="center"/>
        </w:trPr>
        <w:tc>
          <w:tcPr>
            <w:tcW w:w="846" w:type="dxa"/>
          </w:tcPr>
          <w:p w:rsidR="00E16BB0" w:rsidRPr="006641C3" w:rsidRDefault="00E16BB0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16BB0" w:rsidRPr="006641C3" w:rsidRDefault="00E16BB0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Режевской</w:t>
            </w:r>
          </w:p>
        </w:tc>
        <w:tc>
          <w:tcPr>
            <w:tcW w:w="4536" w:type="dxa"/>
          </w:tcPr>
          <w:p w:rsidR="00E16BB0" w:rsidRPr="006641C3" w:rsidRDefault="00E16BB0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E16BB0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16BB0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E16BB0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16BB0" w:rsidRPr="006641C3" w:rsidTr="00E16BB0">
        <w:trPr>
          <w:jc w:val="center"/>
        </w:trPr>
        <w:tc>
          <w:tcPr>
            <w:tcW w:w="846" w:type="dxa"/>
          </w:tcPr>
          <w:p w:rsidR="00E16BB0" w:rsidRPr="006641C3" w:rsidRDefault="00E16BB0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16BB0" w:rsidRPr="006641C3" w:rsidRDefault="00E16BB0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Рефтинский</w:t>
            </w:r>
          </w:p>
        </w:tc>
        <w:tc>
          <w:tcPr>
            <w:tcW w:w="4536" w:type="dxa"/>
          </w:tcPr>
          <w:p w:rsidR="00E16BB0" w:rsidRPr="006641C3" w:rsidRDefault="00E16BB0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E16BB0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16BB0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16BB0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16BB0" w:rsidRPr="006641C3" w:rsidTr="00E16BB0">
        <w:trPr>
          <w:jc w:val="center"/>
        </w:trPr>
        <w:tc>
          <w:tcPr>
            <w:tcW w:w="846" w:type="dxa"/>
          </w:tcPr>
          <w:p w:rsidR="00E16BB0" w:rsidRPr="006641C3" w:rsidRDefault="00E16BB0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16BB0" w:rsidRPr="006641C3" w:rsidRDefault="00E16BB0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Североуральский</w:t>
            </w:r>
          </w:p>
        </w:tc>
        <w:tc>
          <w:tcPr>
            <w:tcW w:w="4536" w:type="dxa"/>
          </w:tcPr>
          <w:p w:rsidR="00E16BB0" w:rsidRPr="006641C3" w:rsidRDefault="00E16BB0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E16BB0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E16BB0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E16BB0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16BB0" w:rsidRPr="006641C3" w:rsidTr="00E16BB0">
        <w:trPr>
          <w:jc w:val="center"/>
        </w:trPr>
        <w:tc>
          <w:tcPr>
            <w:tcW w:w="846" w:type="dxa"/>
          </w:tcPr>
          <w:p w:rsidR="00E16BB0" w:rsidRPr="006641C3" w:rsidRDefault="00E16BB0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16BB0" w:rsidRPr="006641C3" w:rsidRDefault="00E16BB0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Серовский</w:t>
            </w:r>
          </w:p>
        </w:tc>
        <w:tc>
          <w:tcPr>
            <w:tcW w:w="4536" w:type="dxa"/>
          </w:tcPr>
          <w:p w:rsidR="00E16BB0" w:rsidRPr="006641C3" w:rsidRDefault="00E16BB0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E16BB0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16BB0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E16BB0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16BB0" w:rsidRPr="006641C3" w:rsidTr="00E16BB0">
        <w:trPr>
          <w:jc w:val="center"/>
        </w:trPr>
        <w:tc>
          <w:tcPr>
            <w:tcW w:w="846" w:type="dxa"/>
          </w:tcPr>
          <w:p w:rsidR="00E16BB0" w:rsidRPr="006641C3" w:rsidRDefault="00E16BB0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16BB0" w:rsidRPr="006641C3" w:rsidRDefault="00E16BB0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Сосьвинский</w:t>
            </w:r>
          </w:p>
        </w:tc>
        <w:tc>
          <w:tcPr>
            <w:tcW w:w="4536" w:type="dxa"/>
          </w:tcPr>
          <w:p w:rsidR="00E16BB0" w:rsidRPr="006641C3" w:rsidRDefault="00E16BB0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E16BB0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E16BB0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E16BB0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16BB0" w:rsidRPr="006641C3" w:rsidTr="00E16BB0">
        <w:trPr>
          <w:jc w:val="center"/>
        </w:trPr>
        <w:tc>
          <w:tcPr>
            <w:tcW w:w="846" w:type="dxa"/>
          </w:tcPr>
          <w:p w:rsidR="00E16BB0" w:rsidRPr="006641C3" w:rsidRDefault="00E16BB0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16BB0" w:rsidRPr="006641C3" w:rsidRDefault="00E16BB0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Среднеуральск</w:t>
            </w:r>
          </w:p>
        </w:tc>
        <w:tc>
          <w:tcPr>
            <w:tcW w:w="4536" w:type="dxa"/>
          </w:tcPr>
          <w:p w:rsidR="00E16BB0" w:rsidRPr="006641C3" w:rsidRDefault="00E16BB0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E16BB0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16BB0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E16BB0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16BB0" w:rsidRPr="006641C3" w:rsidTr="00E16BB0">
        <w:trPr>
          <w:jc w:val="center"/>
        </w:trPr>
        <w:tc>
          <w:tcPr>
            <w:tcW w:w="846" w:type="dxa"/>
          </w:tcPr>
          <w:p w:rsidR="00E16BB0" w:rsidRPr="006641C3" w:rsidRDefault="00E16BB0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16BB0" w:rsidRPr="006641C3" w:rsidRDefault="00E16BB0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Староуткинск</w:t>
            </w:r>
          </w:p>
        </w:tc>
        <w:tc>
          <w:tcPr>
            <w:tcW w:w="4536" w:type="dxa"/>
          </w:tcPr>
          <w:p w:rsidR="00E16BB0" w:rsidRPr="006641C3" w:rsidRDefault="00E16BB0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E16BB0" w:rsidRPr="006641C3" w:rsidRDefault="00E16BB0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E16BB0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E16BB0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E16BB0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Сухой Лог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E16BB0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E16BB0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Тавдинский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E16BB0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Талицкий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E16BB0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Тугулымский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E16BB0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Туринский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E16BB0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Шалинский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F40356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Голышмановский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F40356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Заводоуковский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F40356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Когалым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F40356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Мегион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F40356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Нефтеюганск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F40356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Нягань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F40356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Радужный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F40356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Урай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F40356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Югорск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F40356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Верхнеуфалейский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F40356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Златоустовский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F40356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Карабашский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F40356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Кыштымский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F40356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Миасский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F40356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Усть-Катавский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F40356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Южноуральский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F40356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Губкинский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Ямало-Ненецкий АО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F40356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Лабытнанги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Ямало-Ненецкий АО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F40356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Муравленко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Ямало-Ненецкий АО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F40356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Ноябрьск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Ямало-Ненецкий АО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F40356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Салехард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Ямало-Ненецкий АО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F40356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Белокуриха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F40356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Бийск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F40356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Славгород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F40356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Яровое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7E5FB2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Ангарский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7E5FB2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7E5FB2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Тулун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7E5FB2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Черемхово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7E5FB2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Анжеро-Судженский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7E5FB2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Беловский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7E5FB2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Берёзовский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7E5FB2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Киселёвский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7E5FB2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Краснобродский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7E5FB2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Междуреченский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7E5FB2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7E5FB2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Мысковский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7E5FB2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Осинниковский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7E5FB2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Полысаевский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7E5FB2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Тайгинский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7E5FB2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Дивногорск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7E5FB2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Енисейск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7E5FB2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Кедровый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7E5FB2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Лесосибирск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7E5FB2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Норильск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7E5FB2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Кольцово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7E5FB2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Кедровый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701" w:type="dxa"/>
          </w:tcPr>
          <w:p w:rsidR="00F40356" w:rsidRPr="006641C3" w:rsidRDefault="007E5FB2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F40356" w:rsidRPr="006641C3" w:rsidRDefault="007E5FB2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7E5FB2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4536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7E5FB2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Ак-Довурак</w:t>
            </w:r>
          </w:p>
        </w:tc>
        <w:tc>
          <w:tcPr>
            <w:tcW w:w="4536" w:type="dxa"/>
          </w:tcPr>
          <w:p w:rsidR="00F40356" w:rsidRPr="006641C3" w:rsidRDefault="007E5FB2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r w:rsidR="00F40356"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Тыва 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7E5FB2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Кызыл</w:t>
            </w:r>
          </w:p>
        </w:tc>
        <w:tc>
          <w:tcPr>
            <w:tcW w:w="4536" w:type="dxa"/>
          </w:tcPr>
          <w:p w:rsidR="00F40356" w:rsidRPr="006641C3" w:rsidRDefault="007E5FB2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r w:rsidR="00F40356"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Тыва 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356" w:rsidRPr="006641C3" w:rsidTr="007E5FB2">
        <w:trPr>
          <w:jc w:val="center"/>
        </w:trPr>
        <w:tc>
          <w:tcPr>
            <w:tcW w:w="846" w:type="dxa"/>
          </w:tcPr>
          <w:p w:rsidR="00F40356" w:rsidRPr="006641C3" w:rsidRDefault="00F40356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356" w:rsidRPr="006641C3" w:rsidRDefault="00F40356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Абаза</w:t>
            </w:r>
          </w:p>
        </w:tc>
        <w:tc>
          <w:tcPr>
            <w:tcW w:w="4536" w:type="dxa"/>
          </w:tcPr>
          <w:p w:rsidR="00F40356" w:rsidRPr="006641C3" w:rsidRDefault="007E5FB2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r w:rsidR="00F40356"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Хакасия</w:t>
            </w:r>
          </w:p>
        </w:tc>
        <w:tc>
          <w:tcPr>
            <w:tcW w:w="1701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40356" w:rsidRPr="006641C3" w:rsidRDefault="00F40356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E5FB2" w:rsidRPr="006641C3" w:rsidTr="007E5FB2">
        <w:trPr>
          <w:jc w:val="center"/>
        </w:trPr>
        <w:tc>
          <w:tcPr>
            <w:tcW w:w="846" w:type="dxa"/>
          </w:tcPr>
          <w:p w:rsidR="007E5FB2" w:rsidRPr="006641C3" w:rsidRDefault="007E5FB2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E5FB2" w:rsidRPr="006641C3" w:rsidRDefault="007E5FB2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Саяногорск</w:t>
            </w:r>
          </w:p>
        </w:tc>
        <w:tc>
          <w:tcPr>
            <w:tcW w:w="4536" w:type="dxa"/>
          </w:tcPr>
          <w:p w:rsidR="007E5FB2" w:rsidRPr="006641C3" w:rsidRDefault="007E5FB2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701" w:type="dxa"/>
          </w:tcPr>
          <w:p w:rsidR="007E5FB2" w:rsidRPr="006641C3" w:rsidRDefault="007E5FB2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7E5FB2" w:rsidRPr="006641C3" w:rsidRDefault="007E5FB2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7E5FB2" w:rsidRPr="006641C3" w:rsidRDefault="007E5FB2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E5FB2" w:rsidRPr="006641C3" w:rsidTr="007E5FB2">
        <w:trPr>
          <w:jc w:val="center"/>
        </w:trPr>
        <w:tc>
          <w:tcPr>
            <w:tcW w:w="846" w:type="dxa"/>
          </w:tcPr>
          <w:p w:rsidR="007E5FB2" w:rsidRPr="006641C3" w:rsidRDefault="007E5FB2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E5FB2" w:rsidRPr="006641C3" w:rsidRDefault="007E5FB2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Сорск</w:t>
            </w:r>
          </w:p>
        </w:tc>
        <w:tc>
          <w:tcPr>
            <w:tcW w:w="4536" w:type="dxa"/>
          </w:tcPr>
          <w:p w:rsidR="007E5FB2" w:rsidRPr="006641C3" w:rsidRDefault="007E5FB2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701" w:type="dxa"/>
          </w:tcPr>
          <w:p w:rsidR="007E5FB2" w:rsidRPr="006641C3" w:rsidRDefault="007E5FB2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7E5FB2" w:rsidRPr="006641C3" w:rsidRDefault="007E5FB2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7E5FB2" w:rsidRPr="006641C3" w:rsidRDefault="007E5FB2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Белогорск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Райчихинск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Тында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Агинское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Петровск-Забайкальский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Палана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Омсукчанский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Северо-Эвенский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F40356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Среднеканский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F40356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Сусуманский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F40356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Тенькинский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F40356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Хасынский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031F39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Ягоднинский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Артёмовский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Большой Камень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Владивостокский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Дальнегорский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Дальнереченский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Лесозаводский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Находкинский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Уссурийский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Жатай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Саха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031F39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Саха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Александровск-Сахалинский 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Анивский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Долинский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Корсаковский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Курильский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Макаровский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Невельский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Ногликский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Охинский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Поронайский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Северо-Курильский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Смирныховский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Томаринский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Тымовский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Углегорский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Холмский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Южно-Курильский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Южно-Сахалинск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Анадырь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Чукотский АО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Певек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Чукотский АО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Провиденский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Чукотский АО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447D" w:rsidRPr="006641C3" w:rsidTr="0013447D">
        <w:trPr>
          <w:jc w:val="center"/>
        </w:trPr>
        <w:tc>
          <w:tcPr>
            <w:tcW w:w="846" w:type="dxa"/>
          </w:tcPr>
          <w:p w:rsidR="0013447D" w:rsidRPr="006641C3" w:rsidRDefault="0013447D" w:rsidP="008168DE">
            <w:pPr>
              <w:pStyle w:val="a6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Эгвекинот</w:t>
            </w:r>
          </w:p>
        </w:tc>
        <w:tc>
          <w:tcPr>
            <w:tcW w:w="4536" w:type="dxa"/>
          </w:tcPr>
          <w:p w:rsidR="0013447D" w:rsidRPr="006641C3" w:rsidRDefault="0013447D" w:rsidP="008168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Чукотский АО</w:t>
            </w:r>
          </w:p>
        </w:tc>
        <w:tc>
          <w:tcPr>
            <w:tcW w:w="1701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5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9" w:type="dxa"/>
          </w:tcPr>
          <w:p w:rsidR="0013447D" w:rsidRPr="006641C3" w:rsidRDefault="0013447D" w:rsidP="00816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EF2684" w:rsidRPr="00BA77D2" w:rsidRDefault="00EF2684" w:rsidP="0044285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EF2684" w:rsidRPr="00BA77D2" w:rsidSect="009C7B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C7" w:rsidRDefault="008312C7" w:rsidP="00DC1206">
      <w:pPr>
        <w:spacing w:after="0" w:line="240" w:lineRule="auto"/>
      </w:pPr>
      <w:r>
        <w:separator/>
      </w:r>
    </w:p>
  </w:endnote>
  <w:endnote w:type="continuationSeparator" w:id="0">
    <w:p w:rsidR="008312C7" w:rsidRDefault="008312C7" w:rsidP="00DC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757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2855" w:rsidRPr="00E8120F" w:rsidRDefault="00442855" w:rsidP="00E8120F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812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12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12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3F68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E812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9701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2855" w:rsidRPr="00E8120F" w:rsidRDefault="00442855" w:rsidP="00E8120F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812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12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12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69AD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E812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C7" w:rsidRDefault="008312C7" w:rsidP="00DC1206">
      <w:pPr>
        <w:spacing w:after="0" w:line="240" w:lineRule="auto"/>
      </w:pPr>
      <w:r>
        <w:separator/>
      </w:r>
    </w:p>
  </w:footnote>
  <w:footnote w:type="continuationSeparator" w:id="0">
    <w:p w:rsidR="008312C7" w:rsidRDefault="008312C7" w:rsidP="00DC1206">
      <w:pPr>
        <w:spacing w:after="0" w:line="240" w:lineRule="auto"/>
      </w:pPr>
      <w:r>
        <w:continuationSeparator/>
      </w:r>
    </w:p>
  </w:footnote>
  <w:footnote w:id="1">
    <w:p w:rsidR="00442855" w:rsidRPr="003E7E69" w:rsidRDefault="0044285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3E7E69">
        <w:rPr>
          <w:rFonts w:ascii="Times New Roman" w:hAnsi="Times New Roman" w:cs="Times New Roman"/>
        </w:rPr>
        <w:t xml:space="preserve">Внесен в Государственную Думу Российской Федерации 16 декабря 2021 года. </w:t>
      </w:r>
    </w:p>
  </w:footnote>
  <w:footnote w:id="2">
    <w:p w:rsidR="00442855" w:rsidRPr="003E7E69" w:rsidRDefault="00442855" w:rsidP="00D637FD">
      <w:pPr>
        <w:pStyle w:val="a3"/>
        <w:jc w:val="both"/>
        <w:rPr>
          <w:rFonts w:ascii="Times New Roman" w:hAnsi="Times New Roman" w:cs="Times New Roman"/>
        </w:rPr>
      </w:pPr>
      <w:r w:rsidRPr="003E7E69">
        <w:rPr>
          <w:rStyle w:val="a5"/>
          <w:rFonts w:ascii="Times New Roman" w:hAnsi="Times New Roman" w:cs="Times New Roman"/>
        </w:rPr>
        <w:footnoteRef/>
      </w:r>
      <w:r w:rsidRPr="003E7E69">
        <w:rPr>
          <w:rFonts w:ascii="Times New Roman" w:hAnsi="Times New Roman" w:cs="Times New Roman"/>
        </w:rPr>
        <w:t xml:space="preserve"> См., например, резолюцию федеральных экспертных слушаний (</w:t>
      </w:r>
      <w:hyperlink r:id="rId1" w:history="1">
        <w:r w:rsidRPr="003E7E69">
          <w:rPr>
            <w:rStyle w:val="af3"/>
            <w:rFonts w:ascii="Times New Roman" w:hAnsi="Times New Roman" w:cs="Times New Roman"/>
          </w:rPr>
          <w:t>https://strategy24.ru/rf/news/rezolyutsiya-federalnykh-ekspertnykh-slushaniy</w:t>
        </w:r>
      </w:hyperlink>
      <w:r w:rsidRPr="003E7E69">
        <w:rPr>
          <w:rFonts w:ascii="Times New Roman" w:hAnsi="Times New Roman" w:cs="Times New Roman"/>
        </w:rPr>
        <w:t>), отзыв Фонда «Институт экономики города» на проект федерального закона (</w:t>
      </w:r>
      <w:hyperlink r:id="rId2" w:history="1">
        <w:r w:rsidRPr="003E7E69">
          <w:rPr>
            <w:rStyle w:val="af3"/>
            <w:rFonts w:ascii="Times New Roman" w:hAnsi="Times New Roman" w:cs="Times New Roman"/>
          </w:rPr>
          <w:t>https://www.urbaneconomics.ru/sites/default/files/zp_otzyv_ieg.pdf</w:t>
        </w:r>
      </w:hyperlink>
      <w:r w:rsidRPr="003E7E69">
        <w:rPr>
          <w:rFonts w:ascii="Times New Roman" w:hAnsi="Times New Roman" w:cs="Times New Roman"/>
        </w:rPr>
        <w:t xml:space="preserve">) </w:t>
      </w:r>
    </w:p>
  </w:footnote>
  <w:footnote w:id="3">
    <w:p w:rsidR="00442855" w:rsidRPr="003E7E69" w:rsidRDefault="00442855" w:rsidP="00C66642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3E7E69">
        <w:rPr>
          <w:rFonts w:ascii="Times New Roman" w:hAnsi="Times New Roman" w:cs="Times New Roman"/>
        </w:rPr>
        <w:t xml:space="preserve">Здесь нужно отметить, что Законопроект воспроизводит неоднократно отмечавшийся недостаток Закона № 131-ФЗ, а именно: опирается на понятия «городского населенного пункта» и «сельского населенного пункта», но определений этим понятиям не дает. </w:t>
      </w:r>
      <w:r w:rsidRPr="00442855">
        <w:rPr>
          <w:rFonts w:ascii="Times New Roman" w:hAnsi="Times New Roman" w:cs="Times New Roman"/>
        </w:rPr>
        <w:t>На практике критерии отнесения территорий к населенным пунктам, а населенных пунктов – к сельским либо городским устанавливаются законами субъектов Российской Федерации об административно-территориальном устройстве.</w:t>
      </w:r>
      <w:r>
        <w:rPr>
          <w:rFonts w:ascii="Times New Roman" w:hAnsi="Times New Roman" w:cs="Times New Roman"/>
        </w:rPr>
        <w:t xml:space="preserve"> </w:t>
      </w:r>
      <w:r w:rsidRPr="003E7E69">
        <w:rPr>
          <w:rFonts w:ascii="Times New Roman" w:hAnsi="Times New Roman" w:cs="Times New Roman"/>
        </w:rPr>
        <w:t>Поскольку субъекты Российской Федерации наделены правом изменять статус населенных пунктов, переводя их из категории городских в категорию сельских и наоборот, это открывает большой простор для манипуляций на региональном уровне с целью «подгонки» территории под критерии городского округа.</w:t>
      </w:r>
    </w:p>
  </w:footnote>
  <w:footnote w:id="4">
    <w:p w:rsidR="00442855" w:rsidRPr="00972A86" w:rsidRDefault="00442855" w:rsidP="00C66642">
      <w:pPr>
        <w:pStyle w:val="a3"/>
        <w:jc w:val="both"/>
        <w:rPr>
          <w:rFonts w:ascii="Times New Roman" w:hAnsi="Times New Roman" w:cs="Times New Roman"/>
        </w:rPr>
      </w:pPr>
      <w:r w:rsidRPr="00972A86">
        <w:rPr>
          <w:rStyle w:val="a5"/>
          <w:rFonts w:ascii="Times New Roman" w:hAnsi="Times New Roman" w:cs="Times New Roman"/>
        </w:rPr>
        <w:footnoteRef/>
      </w:r>
      <w:r w:rsidRPr="00972A86">
        <w:rPr>
          <w:rFonts w:ascii="Times New Roman" w:hAnsi="Times New Roman" w:cs="Times New Roman"/>
        </w:rPr>
        <w:t xml:space="preserve"> Строго говоря, из содержащегося в Законопроекте определения городского округа не ясно, относится это условие ко всем территориям, не входящим в состав городских населенных пунктов (то есть территориям сельских населенных пунктов, не являющихся муниципальными образованиями, </w:t>
      </w:r>
      <w:r w:rsidRPr="00972A86">
        <w:rPr>
          <w:rFonts w:ascii="Times New Roman" w:hAnsi="Times New Roman" w:cs="Times New Roman"/>
          <w:b/>
        </w:rPr>
        <w:t>и</w:t>
      </w:r>
      <w:r w:rsidRPr="00972A86">
        <w:rPr>
          <w:rFonts w:ascii="Times New Roman" w:hAnsi="Times New Roman" w:cs="Times New Roman"/>
        </w:rPr>
        <w:t xml:space="preserve"> территориям, предназначенным для развития социальной, транспортной и иной инфраструктуры городского округа), или только к последней их категории </w:t>
      </w:r>
      <w:r>
        <w:rPr>
          <w:rFonts w:ascii="Times New Roman" w:hAnsi="Times New Roman" w:cs="Times New Roman"/>
        </w:rPr>
        <w:t>–</w:t>
      </w:r>
      <w:r w:rsidRPr="00972A86">
        <w:rPr>
          <w:rFonts w:ascii="Times New Roman" w:hAnsi="Times New Roman" w:cs="Times New Roman"/>
        </w:rPr>
        <w:t xml:space="preserve"> территориям, предназначенным для развития социальной, транспортной и иной инфраструктуры городского округа. Мы придерживаемся первой трактовки. </w:t>
      </w:r>
    </w:p>
  </w:footnote>
  <w:footnote w:id="5">
    <w:p w:rsidR="00442855" w:rsidRDefault="00442855" w:rsidP="00C66642">
      <w:pPr>
        <w:pStyle w:val="a3"/>
        <w:jc w:val="both"/>
      </w:pPr>
      <w:r w:rsidRPr="00972A86">
        <w:rPr>
          <w:rStyle w:val="a5"/>
          <w:rFonts w:ascii="Times New Roman" w:hAnsi="Times New Roman" w:cs="Times New Roman"/>
        </w:rPr>
        <w:footnoteRef/>
      </w:r>
      <w:r w:rsidRPr="00972A86">
        <w:rPr>
          <w:rFonts w:ascii="Times New Roman" w:hAnsi="Times New Roman" w:cs="Times New Roman"/>
        </w:rPr>
        <w:t xml:space="preserve"> В части отнесения муниципальных образований к внутригородским территориям (внутригородским муниципальным образованиям) города федерального значения Законопроект отсылает к законам соответствующих городов федерального значения.</w:t>
      </w:r>
    </w:p>
  </w:footnote>
  <w:footnote w:id="6">
    <w:p w:rsidR="00442855" w:rsidRPr="003E7E69" w:rsidRDefault="00442855" w:rsidP="008D6F3B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3E7E69">
        <w:rPr>
          <w:rFonts w:ascii="Times New Roman" w:hAnsi="Times New Roman" w:cs="Times New Roman"/>
        </w:rPr>
        <w:t>Федеральный закон от 1 мая 2019 года № 87-ФЗ «О внесении изменений в Федеральный закон "Об общих принципах организации местного самоуправления в Российской Федерации"».</w:t>
      </w:r>
    </w:p>
  </w:footnote>
  <w:footnote w:id="7">
    <w:p w:rsidR="00442855" w:rsidRPr="003E7E69" w:rsidRDefault="00442855" w:rsidP="002A37F3">
      <w:pPr>
        <w:pStyle w:val="a3"/>
        <w:jc w:val="both"/>
        <w:rPr>
          <w:rFonts w:ascii="Times New Roman" w:hAnsi="Times New Roman" w:cs="Times New Roman"/>
        </w:rPr>
      </w:pPr>
      <w:r w:rsidRPr="003E7E69">
        <w:rPr>
          <w:rStyle w:val="a5"/>
          <w:rFonts w:ascii="Times New Roman" w:hAnsi="Times New Roman" w:cs="Times New Roman"/>
        </w:rPr>
        <w:footnoteRef/>
      </w:r>
      <w:r w:rsidRPr="003E7E69">
        <w:rPr>
          <w:rFonts w:ascii="Times New Roman" w:hAnsi="Times New Roman" w:cs="Times New Roman"/>
        </w:rPr>
        <w:t xml:space="preserve"> Здесь нелишне заметить, что всего за 4 года до этого преобразования некоторые из этих муниципальных образований уже претерпели преобразование из муниципальных районов в городские округа. </w:t>
      </w:r>
    </w:p>
  </w:footnote>
  <w:footnote w:id="8">
    <w:p w:rsidR="00442855" w:rsidRPr="003E7E69" w:rsidRDefault="00442855" w:rsidP="00EF2684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3E7E69">
        <w:rPr>
          <w:rFonts w:ascii="Times New Roman" w:hAnsi="Times New Roman" w:cs="Times New Roman"/>
        </w:rPr>
        <w:t>Для справки укажем, что среди городских округов в статусе ЗАТО городского населения не имеют три: Видяево (Мурманская область), Комаровский (Оренбургская область) и Светлый (Саратовская область).</w:t>
      </w:r>
    </w:p>
  </w:footnote>
  <w:footnote w:id="9">
    <w:p w:rsidR="00442855" w:rsidRPr="003E7E69" w:rsidRDefault="00442855" w:rsidP="00EF2684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3E7E69">
        <w:rPr>
          <w:rFonts w:ascii="Times New Roman" w:hAnsi="Times New Roman" w:cs="Times New Roman"/>
        </w:rPr>
        <w:t xml:space="preserve">Эти значения следует рассматривать как приблизительные, так как по площадям населенных пунктов и муниципальных образований данные наименее полны и наиболее противоречивы. </w:t>
      </w:r>
    </w:p>
  </w:footnote>
  <w:footnote w:id="10">
    <w:p w:rsidR="00442855" w:rsidRPr="00F45404" w:rsidRDefault="00442855" w:rsidP="007E1A6B">
      <w:pPr>
        <w:pStyle w:val="a3"/>
        <w:jc w:val="both"/>
        <w:rPr>
          <w:rFonts w:ascii="Times New Roman" w:hAnsi="Times New Roman" w:cs="Times New Roman"/>
        </w:rPr>
      </w:pPr>
      <w:r w:rsidRPr="00F45404">
        <w:rPr>
          <w:rStyle w:val="a5"/>
          <w:rFonts w:ascii="Times New Roman" w:hAnsi="Times New Roman" w:cs="Times New Roman"/>
        </w:rPr>
        <w:footnoteRef/>
      </w:r>
      <w:r w:rsidRPr="00F45404">
        <w:rPr>
          <w:rFonts w:ascii="Times New Roman" w:hAnsi="Times New Roman" w:cs="Times New Roman"/>
        </w:rPr>
        <w:t xml:space="preserve"> В одном случае такая дифференциация прямо предписывается Законопроектом: в числе «перераспределяемых» полномочий указано полномочие, которое может относиться только к городским округам – «выдача градостроительного плана земельного участка, расположенного в границах городского округа» (пункт 16 части 2 статьи 32 Законопроекта). </w:t>
      </w:r>
    </w:p>
  </w:footnote>
  <w:footnote w:id="11">
    <w:p w:rsidR="00442855" w:rsidRPr="00F45404" w:rsidRDefault="00442855" w:rsidP="00EF2684">
      <w:pPr>
        <w:pStyle w:val="a3"/>
        <w:jc w:val="both"/>
        <w:rPr>
          <w:rFonts w:ascii="Times New Roman" w:hAnsi="Times New Roman" w:cs="Times New Roman"/>
        </w:rPr>
      </w:pPr>
      <w:r w:rsidRPr="00F45404">
        <w:rPr>
          <w:rStyle w:val="a5"/>
          <w:rFonts w:ascii="Times New Roman" w:hAnsi="Times New Roman" w:cs="Times New Roman"/>
        </w:rPr>
        <w:footnoteRef/>
      </w:r>
      <w:r w:rsidRPr="00F45404">
        <w:rPr>
          <w:rFonts w:ascii="Times New Roman" w:hAnsi="Times New Roman" w:cs="Times New Roman"/>
        </w:rPr>
        <w:t xml:space="preserve"> Джерримэндеринг (англ. Gerrymandering) – термин, изначально использовавшийся для характеристики произвольной демаркации избирательных округов в США с целью изменения соотношения политических сил в них и воздействия тем самым на исход выборов. Расширительно термин обозначает любое искусственное изменение границ территориальных ячеек для подгонки их под некий желательный результат.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471C"/>
    <w:multiLevelType w:val="hybridMultilevel"/>
    <w:tmpl w:val="9ABA38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5AC249A"/>
    <w:multiLevelType w:val="hybridMultilevel"/>
    <w:tmpl w:val="AA40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50583"/>
    <w:multiLevelType w:val="hybridMultilevel"/>
    <w:tmpl w:val="50264E12"/>
    <w:lvl w:ilvl="0" w:tplc="465CB3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8D5677"/>
    <w:multiLevelType w:val="hybridMultilevel"/>
    <w:tmpl w:val="E47E51CE"/>
    <w:lvl w:ilvl="0" w:tplc="8D601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D2"/>
    <w:rsid w:val="0001410B"/>
    <w:rsid w:val="00021A50"/>
    <w:rsid w:val="00031F39"/>
    <w:rsid w:val="00081222"/>
    <w:rsid w:val="000A1072"/>
    <w:rsid w:val="001305E1"/>
    <w:rsid w:val="0013447D"/>
    <w:rsid w:val="001624FB"/>
    <w:rsid w:val="00184D01"/>
    <w:rsid w:val="001C6029"/>
    <w:rsid w:val="00237F44"/>
    <w:rsid w:val="002410EF"/>
    <w:rsid w:val="0024557D"/>
    <w:rsid w:val="0026048C"/>
    <w:rsid w:val="00274F5E"/>
    <w:rsid w:val="00287379"/>
    <w:rsid w:val="002A37F3"/>
    <w:rsid w:val="002E5522"/>
    <w:rsid w:val="00303C67"/>
    <w:rsid w:val="003442C8"/>
    <w:rsid w:val="003704F0"/>
    <w:rsid w:val="0037249C"/>
    <w:rsid w:val="0037746A"/>
    <w:rsid w:val="00386DA5"/>
    <w:rsid w:val="00392C03"/>
    <w:rsid w:val="003D76E2"/>
    <w:rsid w:val="003E7E69"/>
    <w:rsid w:val="00442855"/>
    <w:rsid w:val="00492972"/>
    <w:rsid w:val="004950FB"/>
    <w:rsid w:val="00496370"/>
    <w:rsid w:val="004A069D"/>
    <w:rsid w:val="004B1741"/>
    <w:rsid w:val="004D4F88"/>
    <w:rsid w:val="004E3C7E"/>
    <w:rsid w:val="00500F6B"/>
    <w:rsid w:val="00523C74"/>
    <w:rsid w:val="00552288"/>
    <w:rsid w:val="00554FCF"/>
    <w:rsid w:val="005B24D2"/>
    <w:rsid w:val="005D1BD8"/>
    <w:rsid w:val="005F3BBF"/>
    <w:rsid w:val="006027FE"/>
    <w:rsid w:val="0062469D"/>
    <w:rsid w:val="006309BB"/>
    <w:rsid w:val="00633D05"/>
    <w:rsid w:val="00653652"/>
    <w:rsid w:val="006557D6"/>
    <w:rsid w:val="006641C3"/>
    <w:rsid w:val="006843EE"/>
    <w:rsid w:val="006933BE"/>
    <w:rsid w:val="006D3743"/>
    <w:rsid w:val="00704D83"/>
    <w:rsid w:val="0070728B"/>
    <w:rsid w:val="00712391"/>
    <w:rsid w:val="007255D9"/>
    <w:rsid w:val="00732ADF"/>
    <w:rsid w:val="00734E02"/>
    <w:rsid w:val="007418C7"/>
    <w:rsid w:val="00752050"/>
    <w:rsid w:val="007727CF"/>
    <w:rsid w:val="007A69AD"/>
    <w:rsid w:val="007B4EA5"/>
    <w:rsid w:val="007E1A6B"/>
    <w:rsid w:val="007E4E6F"/>
    <w:rsid w:val="007E5FB2"/>
    <w:rsid w:val="00801AB4"/>
    <w:rsid w:val="00813C81"/>
    <w:rsid w:val="008168DE"/>
    <w:rsid w:val="00820E6D"/>
    <w:rsid w:val="008312C7"/>
    <w:rsid w:val="008903F0"/>
    <w:rsid w:val="00893176"/>
    <w:rsid w:val="00893C69"/>
    <w:rsid w:val="008B3E2D"/>
    <w:rsid w:val="008D6F3B"/>
    <w:rsid w:val="008E26C9"/>
    <w:rsid w:val="008F6BB6"/>
    <w:rsid w:val="00923DBC"/>
    <w:rsid w:val="00944755"/>
    <w:rsid w:val="00971386"/>
    <w:rsid w:val="00972A86"/>
    <w:rsid w:val="009745F4"/>
    <w:rsid w:val="009816B7"/>
    <w:rsid w:val="009B176D"/>
    <w:rsid w:val="009C5544"/>
    <w:rsid w:val="009C7B8C"/>
    <w:rsid w:val="009F17CA"/>
    <w:rsid w:val="00A302A4"/>
    <w:rsid w:val="00A71E94"/>
    <w:rsid w:val="00A86271"/>
    <w:rsid w:val="00AE7B77"/>
    <w:rsid w:val="00AF3AFE"/>
    <w:rsid w:val="00B37604"/>
    <w:rsid w:val="00B4656D"/>
    <w:rsid w:val="00B77AAE"/>
    <w:rsid w:val="00BA29B5"/>
    <w:rsid w:val="00BA77D2"/>
    <w:rsid w:val="00BB339B"/>
    <w:rsid w:val="00BC0B24"/>
    <w:rsid w:val="00BC4634"/>
    <w:rsid w:val="00BF3A3B"/>
    <w:rsid w:val="00C66642"/>
    <w:rsid w:val="00C7293C"/>
    <w:rsid w:val="00CA3F68"/>
    <w:rsid w:val="00CC0CE7"/>
    <w:rsid w:val="00CC791E"/>
    <w:rsid w:val="00CF60F3"/>
    <w:rsid w:val="00D26AD8"/>
    <w:rsid w:val="00D60E7D"/>
    <w:rsid w:val="00D637FD"/>
    <w:rsid w:val="00D8716E"/>
    <w:rsid w:val="00DC1206"/>
    <w:rsid w:val="00DC30B5"/>
    <w:rsid w:val="00DC5D95"/>
    <w:rsid w:val="00DD0C54"/>
    <w:rsid w:val="00DF0FC6"/>
    <w:rsid w:val="00E01E30"/>
    <w:rsid w:val="00E16BB0"/>
    <w:rsid w:val="00E205A6"/>
    <w:rsid w:val="00E74CCB"/>
    <w:rsid w:val="00E8120F"/>
    <w:rsid w:val="00E83228"/>
    <w:rsid w:val="00E85598"/>
    <w:rsid w:val="00EB0C77"/>
    <w:rsid w:val="00EE4983"/>
    <w:rsid w:val="00EF2684"/>
    <w:rsid w:val="00F40356"/>
    <w:rsid w:val="00F434B3"/>
    <w:rsid w:val="00F45404"/>
    <w:rsid w:val="00F64630"/>
    <w:rsid w:val="00F77B23"/>
    <w:rsid w:val="00F81328"/>
    <w:rsid w:val="00F912FD"/>
    <w:rsid w:val="00FE3C74"/>
    <w:rsid w:val="00FF4805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12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120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1206"/>
    <w:rPr>
      <w:vertAlign w:val="superscript"/>
    </w:rPr>
  </w:style>
  <w:style w:type="paragraph" w:styleId="a6">
    <w:name w:val="List Paragraph"/>
    <w:basedOn w:val="a"/>
    <w:uiPriority w:val="34"/>
    <w:qFormat/>
    <w:rsid w:val="00DC120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120F"/>
  </w:style>
  <w:style w:type="paragraph" w:styleId="a9">
    <w:name w:val="footer"/>
    <w:basedOn w:val="a"/>
    <w:link w:val="aa"/>
    <w:uiPriority w:val="99"/>
    <w:unhideWhenUsed/>
    <w:rsid w:val="00E8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120F"/>
  </w:style>
  <w:style w:type="character" w:styleId="ab">
    <w:name w:val="annotation reference"/>
    <w:basedOn w:val="a0"/>
    <w:uiPriority w:val="99"/>
    <w:semiHidden/>
    <w:unhideWhenUsed/>
    <w:rsid w:val="00E205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205A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205A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05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205A6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20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05A6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39"/>
    <w:rsid w:val="004B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5B24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12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120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1206"/>
    <w:rPr>
      <w:vertAlign w:val="superscript"/>
    </w:rPr>
  </w:style>
  <w:style w:type="paragraph" w:styleId="a6">
    <w:name w:val="List Paragraph"/>
    <w:basedOn w:val="a"/>
    <w:uiPriority w:val="34"/>
    <w:qFormat/>
    <w:rsid w:val="00DC120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120F"/>
  </w:style>
  <w:style w:type="paragraph" w:styleId="a9">
    <w:name w:val="footer"/>
    <w:basedOn w:val="a"/>
    <w:link w:val="aa"/>
    <w:uiPriority w:val="99"/>
    <w:unhideWhenUsed/>
    <w:rsid w:val="00E8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120F"/>
  </w:style>
  <w:style w:type="character" w:styleId="ab">
    <w:name w:val="annotation reference"/>
    <w:basedOn w:val="a0"/>
    <w:uiPriority w:val="99"/>
    <w:semiHidden/>
    <w:unhideWhenUsed/>
    <w:rsid w:val="00E205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205A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205A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05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205A6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20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05A6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39"/>
    <w:rsid w:val="004B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5B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rbaneconomics.ru/sites/default/files/zp_otzyv_ieg.pdf" TargetMode="External"/><Relationship Id="rId1" Type="http://schemas.openxmlformats.org/officeDocument/2006/relationships/hyperlink" Target="https://strategy24.ru/rf/news/rezolyutsiya-federalnykh-ekspertnykh-slusha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904D-E247-4183-A19D-B7536509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4127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Попов</dc:creator>
  <cp:lastModifiedBy>ПАВЛОВ Алексей Владимирович</cp:lastModifiedBy>
  <cp:revision>2</cp:revision>
  <dcterms:created xsi:type="dcterms:W3CDTF">2022-04-07T11:07:00Z</dcterms:created>
  <dcterms:modified xsi:type="dcterms:W3CDTF">2022-04-07T11:07:00Z</dcterms:modified>
</cp:coreProperties>
</file>